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w:body>
    <w:p>
      <w:pPr>
        <w:jc w:val="center"/>
        <w:rPr>
          <w:rFonts w:ascii="方正小标宋_GBK" w:eastAsia="方正小标宋_GBK"/>
          <w:sz w:val="44"/>
          <w:szCs w:val="44"/>
        </w:rPr>
      </w:pPr>
      <w:bookmarkStart w:id="0" w:name="_GoBack"/>
      <w:r>
        <w:rPr>
          <w:rFonts w:ascii="方正小标宋_GBK" w:eastAsia="方正小标宋_GBK" w:hint="eastAsia"/>
          <w:sz w:val="44"/>
          <w:szCs w:val="44"/>
          <w:bdr w:val="none" w:sz="0" w:space="0" w:color="auto"/>
        </w:rPr>
        <w:t>扣留涉嫌违法的进出境运输工具、货物、物品及有关账册、单据等资料行政</w:t>
      </w:r>
      <w:r>
        <w:rPr>
          <w:rFonts w:ascii="方正小标宋_GBK" w:eastAsia="方正小标宋_GBK" w:hint="eastAsia"/>
          <w:sz w:val="44"/>
          <w:szCs w:val="44"/>
        </w:rPr>
        <w:t>强制事项事前公开表</w:t>
      </w:r>
    </w:p>
    <w:p>
      <w:pPr>
        <w:jc w:val="center"/>
        <w:rPr>
          <w:rFonts w:ascii="方正小标宋_GBK" w:eastAsia="方正小标宋_GBK"/>
          <w:sz w:val="44"/>
          <w:szCs w:val="44"/>
        </w:rPr>
      </w:pPr>
      <w:bookmarkEnd w:id="0"/>
    </w:p>
    <w:p>
      <w:pPr>
        <w:rPr>
          <w:rFonts w:ascii="方正黑体_GBK" w:eastAsia="方正黑体_GBK"/>
          <w:szCs w:val="32"/>
        </w:rPr>
      </w:pPr>
      <w:r>
        <w:rPr>
          <w:rFonts w:ascii="方正黑体_GBK" w:eastAsia="方正黑体_GBK"/>
          <w:szCs w:val="32"/>
        </w:rPr>
        <w:t>事项名称：扣留涉嫌违法的进出境运输工具、货物、物品及有关账册、单据等资料的行政强制措施</w:t>
      </w:r>
    </w:p>
    <w:p>
      <w:pPr>
        <w:rPr>
          <w:rFonts w:ascii="方正黑体_GBK" w:eastAsia="方正黑体_GBK"/>
          <w:szCs w:val="32"/>
        </w:rPr>
      </w:pPr>
    </w:p>
    <w:p>
      <w:pPr>
        <w:rPr>
          <w:rFonts w:ascii="方正黑体_GBK" w:eastAsia="方正黑体_GBK"/>
          <w:szCs w:val="32"/>
        </w:rPr>
      </w:pPr>
      <w:r>
        <w:rPr>
          <w:rFonts w:ascii="方正黑体_GBK" w:eastAsia="方正黑体_GBK"/>
          <w:szCs w:val="32"/>
        </w:rPr>
        <w:t>执法依据（需具体填写相应法律法规条款内容）：</w:t>
      </w:r>
    </w:p>
    <w:p>
      <w:pPr>
        <w:rPr>
          <w:rFonts w:ascii="方正黑体_GBK" w:eastAsia="方正黑体_GBK"/>
          <w:vanish w:val="0"/>
          <w:szCs w:val="32"/>
          <w:bdr w:val="none" w:sz="0" w:space="0" w:color="auto"/>
        </w:rPr>
      </w:pPr>
      <w:r>
        <w:rPr>
          <w:rFonts w:ascii="方正黑体_GBK" w:eastAsia="方正黑体_GBK"/>
          <w:vanish w:val="0"/>
          <w:szCs w:val="32"/>
          <w:bdr w:val="none" w:sz="0" w:space="0" w:color="auto"/>
        </w:rPr>
        <w:t>一、《中华人民共和国海关法》第六条第（一）、（三）、（四）项</w:t>
      </w:r>
    </w:p>
    <w:p>
      <w:pPr>
        <w:ind w:firstLineChars="200" w:firstLine="631"/>
        <w:rPr>
          <w:rFonts w:ascii="方正黑体_GBK" w:eastAsia="方正黑体_GBK"/>
          <w:vanish w:val="0"/>
          <w:szCs w:val="32"/>
          <w:bdr w:val="none" w:sz="0" w:space="0" w:color="auto"/>
        </w:rPr>
      </w:pPr>
      <w:r>
        <w:rPr>
          <w:rFonts w:ascii="方正黑体_GBK" w:eastAsia="方正黑体_GBK"/>
          <w:vanish w:val="0"/>
          <w:szCs w:val="32"/>
          <w:bdr w:val="none" w:sz="0" w:space="0" w:color="auto"/>
        </w:rPr>
        <w:t>第六条 海关可以行使下列权力：</w:t>
      </w:r>
    </w:p>
    <w:p>
      <w:pPr>
        <w:ind w:firstLineChars="200" w:firstLine="631"/>
        <w:rPr>
          <w:rFonts w:ascii="方正黑体_GBK" w:eastAsia="方正黑体_GBK"/>
          <w:vanish w:val="0"/>
          <w:szCs w:val="32"/>
          <w:bdr w:val="none" w:sz="0" w:space="0" w:color="auto"/>
        </w:rPr>
      </w:pPr>
      <w:r>
        <w:rPr>
          <w:rFonts w:ascii="方正黑体_GBK" w:eastAsia="方正黑体_GBK"/>
          <w:vanish w:val="0"/>
          <w:szCs w:val="32"/>
          <w:bdr w:val="none" w:sz="0" w:space="0" w:color="auto"/>
        </w:rPr>
        <w:t>（一）检查进出境运输工具，查验进出境货物、物品；对违反本法或者其他有关法律、行政法规的，可以扣留。</w:t>
      </w:r>
    </w:p>
    <w:p>
      <w:pPr>
        <w:ind w:firstLineChars="200" w:firstLine="631"/>
        <w:rPr>
          <w:rFonts w:ascii="方正黑体_GBK" w:eastAsia="方正黑体_GBK"/>
          <w:vanish w:val="0"/>
          <w:szCs w:val="32"/>
          <w:bdr w:val="none" w:sz="0" w:space="0" w:color="auto"/>
        </w:rPr>
      </w:pPr>
      <w:r>
        <w:rPr>
          <w:rFonts w:ascii="方正黑体_GBK" w:eastAsia="方正黑体_GBK"/>
          <w:vanish w:val="0"/>
          <w:szCs w:val="32"/>
          <w:bdr w:val="none" w:sz="0" w:space="0" w:color="auto"/>
        </w:rPr>
        <w:t>（三）查阅、复制与进出境运输工具、货物、物品有关的合同、发票、账册、单据、记录、文件、业务函电、录音录像制品和其他资料；对其中与违反本法或者其他有关法律、行政法规的进出境运输工具、货物、物品有牵连的，可以扣留。</w:t>
      </w:r>
    </w:p>
    <w:p>
      <w:pPr>
        <w:ind w:firstLineChars="200" w:firstLine="631"/>
        <w:rPr>
          <w:rFonts w:ascii="方正黑体_GBK" w:eastAsia="方正黑体_GBK"/>
          <w:vanish w:val="0"/>
          <w:szCs w:val="32"/>
          <w:bdr w:val="none" w:sz="0" w:space="0" w:color="auto"/>
        </w:rPr>
      </w:pPr>
      <w:r>
        <w:rPr>
          <w:rFonts w:ascii="方正黑体_GBK" w:eastAsia="方正黑体_GBK"/>
          <w:vanish w:val="0"/>
          <w:szCs w:val="32"/>
          <w:bdr w:val="none" w:sz="0" w:space="0" w:color="auto"/>
        </w:rPr>
        <w:t>（四）在海关监管区和海关附近沿海沿边规定地区，检查有走私嫌疑的运输工具和有藏匿走私货物、物品嫌疑的场所，检查走私嫌疑人的身体；对有走私嫌疑的运输工具、货物、物品和走私犯罪嫌疑人，经直属海关关长或者其授权的隶属海关关长批准，可以扣留；对走私犯罪嫌疑人，扣留时间不超过二十四小时，在特殊情况下可以延长至四十八小时。</w:t>
      </w:r>
    </w:p>
    <w:p>
      <w:pPr>
        <w:ind w:firstLineChars="200" w:firstLine="631"/>
        <w:rPr>
          <w:rFonts w:ascii="方正黑体_GBK" w:eastAsia="方正黑体_GBK"/>
          <w:vanish w:val="0"/>
          <w:szCs w:val="32"/>
          <w:bdr w:val="none" w:sz="0" w:space="0" w:color="auto"/>
        </w:rPr>
      </w:pPr>
      <w:r>
        <w:rPr>
          <w:rFonts w:ascii="方正黑体_GBK" w:eastAsia="方正黑体_GBK"/>
          <w:vanish w:val="0"/>
          <w:szCs w:val="32"/>
          <w:bdr w:val="none" w:sz="0" w:space="0" w:color="auto"/>
        </w:rPr>
        <w:t>在海关监管区和海关附近沿海沿边规定地区以外，海关在调查走私案件时，对有走私嫌疑的运输工具和除公民住处以外的有藏匿走私货物、物品嫌疑的场所，经直属海关关长或者其授权的隶属海关关长批准，可以进行检查，有关当事人应当到场；当事人未到场的，在有见证人在场的情况下，可以径行检查；对其中有证据证明有走私嫌疑的运输工具、货物、物品，可以扣留。</w:t>
      </w:r>
    </w:p>
    <w:p>
      <w:pPr>
        <w:ind w:firstLineChars="200" w:firstLine="631"/>
        <w:rPr>
          <w:rFonts w:ascii="方正黑体_GBK" w:eastAsia="方正黑体_GBK"/>
          <w:vanish w:val="0"/>
          <w:szCs w:val="32"/>
          <w:bdr w:val="none" w:sz="0" w:space="0" w:color="auto"/>
        </w:rPr>
      </w:pPr>
      <w:r>
        <w:rPr>
          <w:rFonts w:ascii="方正黑体_GBK" w:eastAsia="方正黑体_GBK"/>
          <w:vanish w:val="0"/>
          <w:szCs w:val="32"/>
          <w:bdr w:val="none" w:sz="0" w:space="0" w:color="auto"/>
        </w:rPr>
        <w:t>海关附近沿海沿边规定地区的范围，由海关总署和国务院公安部门会同有关省级人民政府确定。</w:t>
      </w:r>
    </w:p>
    <w:p>
      <w:pPr>
        <w:ind w:left="0"/>
        <w:rPr>
          <w:rFonts w:ascii="方正黑体_GBK" w:eastAsia="方正黑体_GBK"/>
          <w:vanish w:val="0"/>
          <w:szCs w:val="32"/>
          <w:bdr w:val="none" w:sz="0" w:space="0" w:color="auto"/>
        </w:rPr>
      </w:pPr>
    </w:p>
    <w:p>
      <w:pPr>
        <w:ind w:left="0"/>
        <w:rPr>
          <w:rFonts w:ascii="方正黑体_GBK" w:eastAsia="方正黑体_GBK"/>
          <w:vanish w:val="0"/>
          <w:szCs w:val="32"/>
          <w:bdr w:val="none" w:sz="0" w:space="0" w:color="auto"/>
        </w:rPr>
      </w:pPr>
      <w:r>
        <w:rPr>
          <w:rFonts w:ascii="方正黑体_GBK" w:eastAsia="方正黑体_GBK"/>
          <w:vanish w:val="0"/>
          <w:szCs w:val="32"/>
          <w:bdr w:val="none" w:sz="0" w:space="0" w:color="auto"/>
        </w:rPr>
        <w:t>二、《中华人民共和国海关行政处罚实施条例》　</w:t>
      </w:r>
    </w:p>
    <w:p>
      <w:pPr>
        <w:ind w:firstLineChars="200" w:firstLine="631"/>
        <w:rPr>
          <w:rFonts w:ascii="方正黑体_GBK" w:eastAsia="方正黑体_GBK"/>
          <w:szCs w:val="32"/>
          <w:bdr w:val="none" w:sz="0" w:space="0" w:color="auto"/>
        </w:rPr>
      </w:pPr>
      <w:r>
        <w:rPr>
          <w:rFonts w:ascii="方正黑体_GBK" w:eastAsia="方正黑体_GBK"/>
          <w:szCs w:val="32"/>
          <w:bdr w:val="none" w:sz="0" w:space="0" w:color="auto"/>
        </w:rPr>
        <w:t>第三十八条　下列货物、物品、运输工具及有关账册、单据等资料,海关可以依法扣留:</w:t>
      </w:r>
    </w:p>
    <w:p>
      <w:pPr>
        <w:ind w:firstLineChars="200" w:firstLine="631"/>
        <w:rPr>
          <w:rFonts w:ascii="方正黑体_GBK" w:eastAsia="方正黑体_GBK"/>
          <w:szCs w:val="32"/>
          <w:bdr w:val="none" w:sz="0" w:space="0" w:color="auto"/>
        </w:rPr>
      </w:pPr>
      <w:r>
        <w:rPr>
          <w:rFonts w:ascii="方正黑体_GBK" w:eastAsia="方正黑体_GBK"/>
          <w:szCs w:val="32"/>
          <w:bdr w:val="none" w:sz="0" w:space="0" w:color="auto"/>
        </w:rPr>
        <w:t>(一)有走私嫌疑的货物、物品、运输工具;</w:t>
      </w:r>
    </w:p>
    <w:p>
      <w:pPr>
        <w:ind w:firstLineChars="200" w:firstLine="631"/>
        <w:rPr>
          <w:rFonts w:ascii="方正黑体_GBK" w:eastAsia="方正黑体_GBK"/>
          <w:szCs w:val="32"/>
          <w:bdr w:val="none" w:sz="0" w:space="0" w:color="auto"/>
        </w:rPr>
      </w:pPr>
      <w:r>
        <w:rPr>
          <w:rFonts w:ascii="方正黑体_GBK" w:eastAsia="方正黑体_GBK"/>
          <w:szCs w:val="32"/>
          <w:bdr w:val="none" w:sz="0" w:space="0" w:color="auto"/>
        </w:rPr>
        <w:t>(二)违反海关法或者其他有关法律、行政法规的货物、物品、运输工具;</w:t>
      </w:r>
    </w:p>
    <w:p>
      <w:pPr>
        <w:ind w:firstLineChars="200" w:firstLine="631"/>
        <w:rPr>
          <w:rFonts w:ascii="方正黑体_GBK" w:eastAsia="方正黑体_GBK"/>
          <w:szCs w:val="32"/>
          <w:bdr w:val="none" w:sz="0" w:space="0" w:color="auto"/>
        </w:rPr>
      </w:pPr>
      <w:r>
        <w:rPr>
          <w:rFonts w:ascii="方正黑体_GBK" w:eastAsia="方正黑体_GBK"/>
          <w:szCs w:val="32"/>
          <w:bdr w:val="none" w:sz="0" w:space="0" w:color="auto"/>
        </w:rPr>
        <w:t>(三)与违反海关法或者其他有关法律、行政法规的货物、物品、运输工具有牵连的账册、单据等资料;</w:t>
      </w:r>
    </w:p>
    <w:p>
      <w:pPr>
        <w:ind w:firstLineChars="200" w:firstLine="631"/>
        <w:rPr>
          <w:rFonts w:ascii="方正黑体_GBK" w:eastAsia="方正黑体_GBK"/>
          <w:szCs w:val="32"/>
          <w:bdr w:val="none" w:sz="0" w:space="0" w:color="auto"/>
        </w:rPr>
      </w:pPr>
      <w:r>
        <w:rPr>
          <w:rFonts w:ascii="方正黑体_GBK" w:eastAsia="方正黑体_GBK"/>
          <w:szCs w:val="32"/>
          <w:bdr w:val="none" w:sz="0" w:space="0" w:color="auto"/>
        </w:rPr>
        <w:t>(四)法律、行政法规规定可以扣留的其他货物、物品、运输工具及有关账册、单据等资料。</w:t>
      </w:r>
    </w:p>
    <w:p>
      <w:pPr>
        <w:ind w:firstLineChars="200" w:firstLine="631"/>
        <w:rPr>
          <w:rFonts w:ascii="方正黑体_GBK" w:eastAsia="方正黑体_GBK"/>
          <w:szCs w:val="32"/>
          <w:bdr w:val="none" w:sz="0" w:space="0" w:color="auto"/>
        </w:rPr>
      </w:pPr>
      <w:r>
        <w:rPr>
          <w:rFonts w:ascii="方正黑体_GBK" w:eastAsia="方正黑体_GBK"/>
          <w:szCs w:val="32"/>
          <w:bdr w:val="none" w:sz="0" w:space="0" w:color="auto"/>
        </w:rPr>
        <w:t>第三十九条　有违法嫌疑的货物、物品、运输工具无法或者不便扣留的,当事人或者运输工具负责人应当向海关提供等值的担保,未提供等值担保的,海关可以扣留当事人等值的其他财产。</w:t>
      </w:r>
    </w:p>
    <w:p>
      <w:pPr>
        <w:ind w:firstLineChars="200" w:firstLine="631"/>
        <w:rPr>
          <w:rFonts w:ascii="方正黑体_GBK" w:eastAsia="方正黑体_GBK"/>
          <w:szCs w:val="32"/>
          <w:bdr w:val="none" w:sz="0" w:space="0" w:color="auto"/>
        </w:rPr>
      </w:pPr>
      <w:r>
        <w:rPr>
          <w:rFonts w:ascii="方正黑体_GBK" w:eastAsia="方正黑体_GBK"/>
          <w:szCs w:val="32"/>
          <w:bdr w:val="none" w:sz="0" w:space="0" w:color="auto"/>
        </w:rPr>
        <w:t>第四十条　海关扣留货物、物品、运输工具以及账册、单据等资料的期限不得超过1年。因案件调查需要,经直属海关关长或者其授权的隶属海关关长批准,可以延长,延长期限不得超过1年。但复议、诉讼期间不计算在内。</w:t>
      </w:r>
    </w:p>
    <w:p>
      <w:pPr>
        <w:ind w:firstLineChars="200" w:firstLine="631"/>
        <w:rPr>
          <w:rFonts w:ascii="方正黑体_GBK" w:eastAsia="方正黑体_GBK"/>
          <w:szCs w:val="32"/>
          <w:bdr w:val="none" w:sz="0" w:space="0" w:color="auto"/>
        </w:rPr>
      </w:pPr>
      <w:r>
        <w:rPr>
          <w:rFonts w:ascii="方正黑体_GBK" w:eastAsia="方正黑体_GBK"/>
          <w:szCs w:val="32"/>
          <w:bdr w:val="none" w:sz="0" w:space="0" w:color="auto"/>
        </w:rPr>
        <w:t>第四十一条　有下列情形之一的,海关应当及时解除扣留:</w:t>
      </w:r>
    </w:p>
    <w:p>
      <w:pPr>
        <w:ind w:firstLineChars="200" w:firstLine="631"/>
        <w:rPr>
          <w:rFonts w:ascii="方正黑体_GBK" w:eastAsia="方正黑体_GBK"/>
          <w:szCs w:val="32"/>
          <w:bdr w:val="none" w:sz="0" w:space="0" w:color="auto"/>
        </w:rPr>
      </w:pPr>
      <w:r>
        <w:rPr>
          <w:rFonts w:ascii="方正黑体_GBK" w:eastAsia="方正黑体_GBK"/>
          <w:szCs w:val="32"/>
          <w:bdr w:val="none" w:sz="0" w:space="0" w:color="auto"/>
        </w:rPr>
        <w:t>(一)排除违法嫌疑的;</w:t>
      </w:r>
    </w:p>
    <w:p>
      <w:pPr>
        <w:ind w:firstLineChars="200" w:firstLine="631"/>
        <w:rPr>
          <w:rFonts w:ascii="方正黑体_GBK" w:eastAsia="方正黑体_GBK"/>
          <w:szCs w:val="32"/>
          <w:bdr w:val="none" w:sz="0" w:space="0" w:color="auto"/>
        </w:rPr>
      </w:pPr>
      <w:r>
        <w:rPr>
          <w:rFonts w:ascii="方正黑体_GBK" w:eastAsia="方正黑体_GBK"/>
          <w:szCs w:val="32"/>
          <w:bdr w:val="none" w:sz="0" w:space="0" w:color="auto"/>
        </w:rPr>
        <w:t>(二)扣留期限、延长期限届满的;</w:t>
      </w:r>
    </w:p>
    <w:p>
      <w:pPr>
        <w:ind w:firstLineChars="200" w:firstLine="631"/>
        <w:rPr>
          <w:rFonts w:ascii="方正黑体_GBK" w:eastAsia="方正黑体_GBK"/>
          <w:szCs w:val="32"/>
          <w:bdr w:val="none" w:sz="0" w:space="0" w:color="auto"/>
        </w:rPr>
      </w:pPr>
      <w:r>
        <w:rPr>
          <w:rFonts w:ascii="方正黑体_GBK" w:eastAsia="方正黑体_GBK"/>
          <w:szCs w:val="32"/>
          <w:bdr w:val="none" w:sz="0" w:space="0" w:color="auto"/>
        </w:rPr>
        <w:t>(三)已经履行海关行政处罚决定的;</w:t>
      </w:r>
    </w:p>
    <w:p>
      <w:pPr>
        <w:ind w:firstLineChars="200" w:firstLine="631"/>
        <w:rPr>
          <w:rFonts w:ascii="方正黑体_GBK" w:eastAsia="方正黑体_GBK"/>
          <w:szCs w:val="32"/>
          <w:bdr w:val="none" w:sz="0" w:space="0" w:color="auto"/>
        </w:rPr>
      </w:pPr>
      <w:r>
        <w:rPr>
          <w:rFonts w:ascii="方正黑体_GBK" w:eastAsia="方正黑体_GBK"/>
          <w:szCs w:val="32"/>
          <w:bdr w:val="none" w:sz="0" w:space="0" w:color="auto"/>
        </w:rPr>
        <w:t>(四)法律、行政法规规定应当解除扣留的其他情形。</w:t>
      </w:r>
    </w:p>
    <w:p>
      <w:pPr>
        <w:ind w:firstLineChars="200" w:firstLine="631"/>
        <w:rPr>
          <w:rFonts w:ascii="方正黑体_GBK" w:eastAsia="方正黑体_GBK"/>
          <w:szCs w:val="32"/>
          <w:bdr w:val="none" w:sz="0" w:space="0" w:color="auto"/>
        </w:rPr>
      </w:pPr>
      <w:r>
        <w:rPr>
          <w:rFonts w:ascii="方正黑体_GBK" w:eastAsia="方正黑体_GBK"/>
          <w:szCs w:val="32"/>
          <w:bdr w:val="none" w:sz="0" w:space="0" w:color="auto"/>
        </w:rPr>
        <w:t>第四十二条　海关依法扣留货物、物品、运输工具、其他财产以及账册、单据等资料,应当制发海关扣留凭单,由海关工作人员、当事人或者其代理人、保管人、见证人签字或者盖章,并可以加施海关封志。加施海关封志的,当事人或者其代理人、保管人应当妥善保管。</w:t>
      </w:r>
    </w:p>
    <w:p>
      <w:pPr>
        <w:ind w:firstLineChars="200" w:firstLine="631"/>
        <w:rPr>
          <w:rFonts w:ascii="方正黑体_GBK" w:eastAsia="方正黑体_GBK"/>
          <w:szCs w:val="32"/>
          <w:bdr w:val="none" w:sz="0" w:space="0" w:color="auto"/>
        </w:rPr>
      </w:pPr>
      <w:r>
        <w:rPr>
          <w:rFonts w:ascii="方正黑体_GBK" w:eastAsia="方正黑体_GBK"/>
          <w:szCs w:val="32"/>
          <w:bdr w:val="none" w:sz="0" w:space="0" w:color="auto"/>
        </w:rPr>
        <w:t>海关解除对货物、物品、运输工具、其他财产以及账册、单据等资料的扣留,或者发还等值的担保,应当制发海关解除扣留通知书、海关解除担保通知书,并由海关工作人员、当事人或者其代理人、保管人、见证人签字或者盖章。</w:t>
      </w:r>
    </w:p>
    <w:p>
      <w:pPr>
        <w:rPr>
          <w:rFonts w:ascii="方正黑体_GBK" w:eastAsia="方正黑体_GBK"/>
          <w:vanish w:val="0"/>
          <w:szCs w:val="32"/>
          <w:bdr w:val="none" w:sz="0" w:space="0" w:color="auto"/>
        </w:rPr>
      </w:pPr>
    </w:p>
    <w:p>
      <w:pPr>
        <w:rPr>
          <w:rFonts w:ascii="方正黑体_GBK" w:eastAsia="方正黑体_GBK"/>
          <w:szCs w:val="32"/>
        </w:rPr>
      </w:pPr>
    </w:p>
    <w:p>
      <w:pPr>
        <w:rPr>
          <w:rFonts w:ascii="方正黑体_GBK" w:eastAsia="方正黑体_GBK"/>
          <w:szCs w:val="32"/>
        </w:rPr>
      </w:pPr>
      <w:r>
        <w:rPr>
          <w:rFonts w:ascii="方正黑体_GBK" w:eastAsia="方正黑体_GBK"/>
          <w:szCs w:val="32"/>
        </w:rPr>
        <w:t>执行条件（达到采取行政处罚、强制的具体标准）：</w:t>
      </w:r>
    </w:p>
    <w:p>
      <w:pPr>
        <w:rPr>
          <w:rFonts w:ascii="方正黑体_GBK" w:eastAsia="方正黑体_GBK"/>
          <w:szCs w:val="32"/>
        </w:rPr>
      </w:pPr>
      <w:r>
        <w:rPr>
          <w:rFonts w:ascii="方正黑体_GBK" w:eastAsia="方正黑体_GBK"/>
          <w:vanish w:val="0"/>
          <w:szCs w:val="32"/>
          <w:bdr w:val="none" w:sz="0" w:space="0" w:color="auto"/>
        </w:rPr>
        <w:t>对违反《海关法》或者其他有关法律、行政法规的进出境运输工具、货物、物品，可以扣留。</w:t>
      </w:r>
    </w:p>
    <w:p>
      <w:pPr>
        <w:rPr>
          <w:rFonts w:ascii="方正黑体_GBK" w:eastAsia="方正黑体_GBK"/>
          <w:szCs w:val="32"/>
        </w:rPr>
      </w:pPr>
    </w:p>
    <w:p>
      <w:pPr>
        <w:rPr>
          <w:rFonts w:ascii="方正黑体_GBK" w:eastAsia="方正黑体_GBK"/>
          <w:szCs w:val="32"/>
        </w:rPr>
      </w:pPr>
    </w:p>
    <w:p>
      <w:pPr>
        <w:rPr>
          <w:rFonts w:ascii="方正黑体_GBK" w:eastAsia="方正黑体_GBK"/>
          <w:szCs w:val="32"/>
        </w:rPr>
      </w:pPr>
      <w:r>
        <w:rPr>
          <w:rFonts w:ascii="方正黑体_GBK" w:eastAsia="方正黑体_GBK"/>
          <w:szCs w:val="32"/>
        </w:rPr>
        <w:t>执法程序（办理流程）：</w:t>
      </w:r>
    </w:p>
    <w:p>
      <w:pPr>
        <w:rPr>
          <w:rFonts w:ascii="方正黑体_GBK" w:eastAsia="方正黑体_GBK"/>
          <w:szCs w:val="32"/>
        </w:rPr>
      </w:pPr>
      <w:r>
        <w:rPr>
          <w:rFonts w:ascii="方正黑体_GBK" w:eastAsia="方正黑体_GBK"/>
          <w:szCs w:val="32"/>
        </w:rPr>
        <w:t>一、相关程序和要求</w:t>
      </w:r>
    </w:p>
    <w:p>
      <w:pPr>
        <w:ind w:firstLineChars="200" w:firstLine="631"/>
        <w:rPr>
          <w:rFonts w:ascii="方正黑体_GBK" w:eastAsia="方正黑体_GBK"/>
          <w:szCs w:val="32"/>
        </w:rPr>
      </w:pPr>
      <w:r>
        <w:rPr>
          <w:rFonts w:ascii="方正黑体_GBK" w:eastAsia="方正黑体_GBK"/>
          <w:szCs w:val="32"/>
        </w:rPr>
        <w:t>1.实施扣留前须向直属海关关长或者其授权的隶属海关关长报告并经批准；在情况紧急，需要当场实施扣留的，海关执法人员应当在二十四小时内向关长报告，并补办批准手续。</w:t>
      </w:r>
    </w:p>
    <w:p>
      <w:pPr>
        <w:ind w:firstLineChars="200" w:firstLine="631"/>
        <w:rPr>
          <w:rFonts w:ascii="方正黑体_GBK" w:eastAsia="方正黑体_GBK"/>
          <w:szCs w:val="32"/>
        </w:rPr>
      </w:pPr>
      <w:r>
        <w:rPr>
          <w:rFonts w:ascii="方正黑体_GBK" w:eastAsia="方正黑体_GBK"/>
          <w:szCs w:val="32"/>
        </w:rPr>
        <w:t>2.由2名以上海关工作人员执行，出示执法身份证件。</w:t>
      </w:r>
    </w:p>
    <w:p>
      <w:pPr>
        <w:ind w:firstLineChars="200" w:firstLine="631"/>
        <w:rPr>
          <w:rFonts w:ascii="方正黑体_GBK" w:eastAsia="方正黑体_GBK"/>
          <w:szCs w:val="32"/>
        </w:rPr>
      </w:pPr>
      <w:r>
        <w:rPr>
          <w:rFonts w:ascii="方正黑体_GBK" w:eastAsia="方正黑体_GBK"/>
          <w:szCs w:val="32"/>
        </w:rPr>
        <w:t>3.通知当事人到场；当场告知当事人采取行政强制措施的理由、依据以及当事人依法享有的权利、救济途径；听取当事人的陈述和申辩。</w:t>
      </w:r>
    </w:p>
    <w:p>
      <w:pPr>
        <w:ind w:firstLineChars="200" w:firstLine="631"/>
        <w:rPr>
          <w:rFonts w:ascii="方正黑体_GBK" w:eastAsia="方正黑体_GBK"/>
          <w:szCs w:val="32"/>
        </w:rPr>
      </w:pPr>
      <w:r>
        <w:rPr>
          <w:rFonts w:ascii="方正黑体_GBK" w:eastAsia="方正黑体_GBK"/>
          <w:szCs w:val="32"/>
        </w:rPr>
        <w:t>4.制作现场笔录。</w:t>
      </w:r>
    </w:p>
    <w:p>
      <w:pPr>
        <w:ind w:leftChars="200" w:left="631"/>
        <w:rPr>
          <w:rFonts w:ascii="方正黑体_GBK" w:eastAsia="方正黑体_GBK"/>
          <w:szCs w:val="32"/>
        </w:rPr>
      </w:pPr>
      <w:r>
        <w:rPr>
          <w:rFonts w:ascii="方正黑体_GBK" w:eastAsia="方正黑体_GBK"/>
          <w:szCs w:val="32"/>
        </w:rPr>
        <w:t xml:space="preserve">5.制作并当场交付《扣留决定书》和《扣留清单》。                                                                                                                                  </w:t>
      </w:r>
    </w:p>
    <w:p>
      <w:pPr>
        <w:ind w:firstLineChars="200" w:firstLine="631"/>
        <w:rPr>
          <w:rFonts w:ascii="方正黑体_GBK" w:eastAsia="方正黑体_GBK"/>
          <w:szCs w:val="32"/>
        </w:rPr>
      </w:pPr>
      <w:r>
        <w:rPr>
          <w:rFonts w:ascii="方正黑体_GBK" w:eastAsia="方正黑体_GBK"/>
          <w:szCs w:val="32"/>
        </w:rPr>
        <w:t xml:space="preserve">6.海关依法解除扣留，应经直属海关关长或者其授权的隶属海关关长批准，并及时制发《解除扣留通知书》送达当事人。                                                                   </w:t>
      </w:r>
    </w:p>
    <w:p>
      <w:pPr>
        <w:ind w:firstLineChars="200" w:firstLine="631"/>
        <w:rPr>
          <w:rFonts w:ascii="方正黑体_GBK" w:eastAsia="方正黑体_GBK"/>
          <w:szCs w:val="32"/>
        </w:rPr>
      </w:pPr>
      <w:r>
        <w:rPr>
          <w:rFonts w:ascii="方正黑体_GBK" w:eastAsia="方正黑体_GBK"/>
          <w:szCs w:val="32"/>
        </w:rPr>
        <w:t>7.海关依法扣留货物、物品、运输工具、其他财产以及账册、单据等资料，可以加施海关封志。</w:t>
      </w:r>
    </w:p>
    <w:p>
      <w:pPr>
        <w:ind w:firstLineChars="200" w:firstLine="631"/>
        <w:rPr>
          <w:rFonts w:ascii="方正黑体_GBK" w:eastAsia="方正黑体_GBK"/>
          <w:szCs w:val="32"/>
        </w:rPr>
      </w:pPr>
      <w:r>
        <w:rPr>
          <w:rFonts w:ascii="方正黑体_GBK" w:eastAsia="方正黑体_GBK"/>
          <w:szCs w:val="32"/>
        </w:rPr>
        <w:t>8.扣留期限不得超过1年。因案件调查需要，经直属海关关长或者其授权的隶属海关关长批准，可以延长，延长期限不得超过1年。但是复议、诉讼期间不计算在内。对物品需要进行检测、检验、检疫或者技术鉴定的，查封、扣押的期间不包括检测、检验、检疫或者技术鉴定的期间。</w:t>
      </w:r>
    </w:p>
    <w:p>
      <w:pPr>
        <w:ind w:firstLineChars="200" w:firstLine="631"/>
        <w:rPr>
          <w:rFonts w:ascii="方正黑体_GBK" w:eastAsia="方正黑体_GBK" w:hint="eastAsia"/>
          <w:szCs w:val="32"/>
        </w:rPr>
      </w:pPr>
      <w:r>
        <w:rPr>
          <w:rFonts w:ascii="方正黑体_GBK" w:eastAsia="方正黑体_GBK"/>
          <w:szCs w:val="32"/>
        </w:rPr>
        <w:t>9.危险品或者鲜活、易腐、易烂、易失效、易变质等不宜长期保存的货物、物品以及所有人申请先行变卖的货物、物品、运输工具，经直属海关关长或者其授权的隶属海关关长批准，可以先行依法变卖，变卖所得价款由海关保存，并通知其所有人。</w:t>
      </w:r>
    </w:p>
    <w:sectPr>
      <w:footerReference w:type="default" r:id="rId2"/>
      <w:pgSz w:w="11907" w:h="16840"/>
      <w:pgMar w:top="2098" w:right="1474" w:bottom="1985" w:left="1588" w:header="1814" w:footer="1474" w:gutter="0"/>
      <w:pgNumType w:start="0"/>
      <w:titlePg/>
      <w:docGrid w:type="linesAndChars" w:linePitch="580" w:charSpace="-841"/>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00" w:usb3="00000000" w:csb0="00040000" w:csb1="00000000"/>
  </w:font>
  <w:font w:name="方正黑体_GBK">
    <w:panose1 w:val="03000509000000000000"/>
    <w:charset w:val="86"/>
    <w:family w:val="script"/>
    <w:pitch w:val="variable"/>
    <w:sig w:usb0="00000001" w:usb1="080E0000" w:usb2="00000000" w:usb3="00000000" w:csb0="00040000" w:csb1="00000000"/>
  </w:font>
  <w:font w:name="Times New Roman">
    <w:panose1 w:val="02020603050405020304"/>
    <w:charset w:val="00"/>
    <w:family w:val="auto"/>
    <w:pitch w:val="variable"/>
    <w:sig w:usb0="00000A87" w:usb1="00000000" w:usb2="00000000" w:usb3="00000000" w:csb0="400001BF" w:csb1="DFF70000"/>
  </w:font>
  <w:font w:name="宋体">
    <w:panose1 w:val="02010600030101010101"/>
    <w:charset w:val="86"/>
    <w:family w:val="auto"/>
    <w:pitch w:val="variable"/>
    <w:sig w:usb0="00000003" w:usb1="080E0000" w:usb2="00000000" w:usb3="00000000" w:csb0="00040001" w:csb1="00000000"/>
  </w:font>
  <w:font w:name="方正仿宋_GBK">
    <w:panose1 w:val="03000509000000000000"/>
    <w:charset w:val="86"/>
    <w:family w:val="script"/>
    <w:pitch w:val="variable"/>
    <w:sig w:usb0="00000001" w:usb1="080E0000" w:usb2="00000000" w:usb3="00000000" w:csb0="00040000" w:csb1="00000000"/>
  </w:font>
  <w:font w:name="Arial">
    <w:panose1 w:val="020B0604020202020204"/>
    <w:charset w:val="00"/>
    <w:family w:val="auto"/>
    <w:pitch w:val="variable"/>
    <w:sig w:usb0="00007A87" w:usb1="80000000" w:usb2="00000008" w:usb3="00000000" w:csb0="400001FF" w:csb1="FFFF0000"/>
  </w:font>
  <w:font w:name="黑体">
    <w:panose1 w:val="02010609060101010101"/>
    <w:charset w:val="86"/>
    <w:family w:val="auto"/>
    <w:pitch w:val="variable"/>
    <w:sig w:usb0="800002BF" w:usb1="38CF7CFA" w:usb2="00000016" w:usb3="00000000" w:csb0="00040001"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w:p>
    <w:pPr>
      <w:pStyle w:val="16"/>
      <w:tabs>
        <w:tab w:val="center" w:pos="4153"/>
        <w:tab w:val="right" w:pos="8307"/>
      </w:tabs>
      <w:jc w:val="center"/>
      <w:rPr>
        <w:sz w:val="32"/>
        <w:szCs w:val="32"/>
      </w:rPr>
    </w:pPr>
    <w:r>
      <w:rPr>
        <w:sz w:val="32"/>
        <w:szCs w:val="32"/>
      </w:rPr>
      <w:fldChar w:fldCharType="begin"/>
    </w:r>
    <w:r>
      <w:rPr>
        <w:sz w:val="32"/>
        <w:szCs w:val="32"/>
      </w:rPr>
      <w:instrText>Page</w:instrText>
    </w:r>
    <w:r>
      <w:rPr>
        <w:sz w:val="32"/>
        <w:szCs w:val="32"/>
      </w:rPr>
      <w:fldChar w:fldCharType="separate"/>
    </w:r>
    <w:r>
      <w:rPr>
        <w:sz w:val="32"/>
        <w:szCs w:val="32"/>
      </w:rPr>
      <w:t>3</w:t>
    </w:r>
    <w:r>
      <w:rPr>
        <w:sz w:val="32"/>
        <w:szCs w:val="32"/>
      </w:rPr>
      <w:fldChar w:fldCharType="end"/>
    </w: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displayBackgroundShape/>
  <w:bordersDoNotSurroundHeader/>
  <w:bordersDoNotSurroundFooter/>
  <w:defaultTabStop w:val="420"/>
  <w:drawingGridHorizontalSpacing w:val="157"/>
  <w:drawingGridVerticalSpacing w:val="289"/>
  <w:displayHorizontalDrawingGridEvery w:val="2"/>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spacing w:line="240" w:lineRule="auto"/>
      <w:jc w:val="both"/>
    </w:pPr>
    <w:rPr>
      <w:rFonts w:ascii="Times New Roman" w:eastAsia="方正仿宋_GBK" w:cs="Times New Roman" w:hAnsi="Times New Roman"/>
      <w:kern w:val="2"/>
      <w:sz w:val="32"/>
      <w:lang w:val="en-US" w:eastAsia="zh-CN" w:bidi="ar-SA"/>
    </w:rPr>
  </w:style>
  <w:style w:type="paragraph" w:styleId="1">
    <w:name w:val="heading 1"/>
    <w:basedOn w:val="0"/>
    <w:next w:val="0"/>
    <w:pPr>
      <w:keepNext/>
      <w:keepLines/>
      <w:widowControl w:val="0"/>
      <w:spacing w:before="340" w:after="330" w:line="578" w:lineRule="auto"/>
      <w:outlineLvl w:val="0"/>
    </w:pPr>
    <w:rPr>
      <w:b/>
      <w:kern w:val="44"/>
      <w:sz w:val="44"/>
    </w:rPr>
  </w:style>
  <w:style w:type="paragraph" w:styleId="2">
    <w:name w:val="heading 2"/>
    <w:basedOn w:val="0"/>
    <w:next w:val="0"/>
    <w:pPr>
      <w:keepNext/>
      <w:keepLines/>
      <w:widowControl w:val="0"/>
      <w:spacing w:before="260" w:after="260" w:line="415" w:lineRule="auto"/>
      <w:outlineLvl w:val="1"/>
    </w:pPr>
    <w:rPr>
      <w:rFonts w:ascii="Arial" w:eastAsia="黑体" w:hAnsi="Arial"/>
      <w:b/>
      <w:sz w:val="32"/>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 w:type="paragraph" w:styleId="15">
    <w:name w:val="header"/>
    <w:basedOn w:val="0"/>
    <w:pPr>
      <w:pBdr>
        <w:bottom w:val="single" w:sz="6" w:space="1" w:color="auto"/>
      </w:pBdr>
      <w:tabs>
        <w:tab w:val="center" w:pos="4153"/>
        <w:tab w:val="right" w:pos="8307"/>
      </w:tabs>
      <w:snapToGrid w:val="0"/>
      <w:jc w:val="center"/>
    </w:pPr>
    <w:rPr>
      <w:sz w:val="18"/>
    </w:rPr>
  </w:style>
  <w:style w:type="paragraph" w:styleId="16">
    <w:name w:val="footer"/>
    <w:basedOn w:val="0"/>
    <w:pPr>
      <w:tabs>
        <w:tab w:val="center" w:pos="4153"/>
        <w:tab w:val="right" w:pos="8307"/>
      </w:tabs>
      <w:snapToGrid w:val="0"/>
      <w:jc w:val="left"/>
    </w:pPr>
    <w:rPr>
      <w:sz w:val="18"/>
    </w:rPr>
  </w:style>
  <w:style w:type="paragraph" w:styleId="17">
    <w:name w:val="Normal (Web)"/>
    <w:pPr>
      <w:widowControl w:val="0"/>
      <w:spacing w:before="100" w:beforeAutospacing="1" w:after="100" w:afterAutospacing="1" w:line="240" w:lineRule="auto"/>
      <w:jc w:val="left"/>
    </w:pPr>
    <w:rPr>
      <w:rFonts w:ascii="宋体" w:eastAsia="宋体" w:cs="Times New Roman"/>
      <w:kern w:val="2"/>
      <w:sz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60</TotalTime>
  <Application>Yozo_Office</Application>
  <Pages>5</Pages>
  <Words>1964</Words>
  <Characters>1973</Characters>
  <Lines>93</Lines>
  <Paragraphs>38</Paragraphs>
  <CharactersWithSpaces>2177</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资凡</dc:creator>
  <cp:lastModifiedBy>admin</cp:lastModifiedBy>
  <cp:revision>2</cp:revision>
  <dcterms:created xsi:type="dcterms:W3CDTF">2020-11-12T02:48:58Z</dcterms:created>
</cp:coreProperties>
</file>