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ind w:left="0"/>
        <w:jc w:val="center"/>
        <w:rPr>
          <w:rFonts w:ascii="方正小标宋_GBK" w:eastAsia="方正小标宋_GBK"/>
          <w:sz w:val="44"/>
          <w:szCs w:val="44"/>
        </w:rPr>
      </w:pPr>
      <w:r>
        <w:rPr>
          <w:rFonts w:ascii="方正小标宋_GBK" w:eastAsia="方正小标宋_GBK" w:hint="eastAsia"/>
          <w:sz w:val="44"/>
          <w:szCs w:val="44"/>
        </w:rPr>
        <w:t>昆明海关（本级机关）</w:t>
      </w:r>
      <w:bookmarkStart w:id="0" w:name="_GoBack"/>
      <w:bookmarkEnd w:id="0"/>
      <w:r>
        <w:rPr>
          <w:rFonts w:ascii="方正小标宋_GBK" w:eastAsia="方正小标宋_GBK" w:hint="eastAsia"/>
          <w:sz w:val="44"/>
          <w:szCs w:val="44"/>
        </w:rPr>
        <w:t>2021年政府信息</w:t>
      </w:r>
    </w:p>
    <w:p>
      <w:pPr>
        <w:ind w:left="0"/>
        <w:jc w:val="center"/>
        <w:rPr>
          <w:rFonts w:ascii="方正小标宋_GBK" w:eastAsia="方正小标宋_GBK" w:hint="eastAsia"/>
          <w:sz w:val="44"/>
          <w:szCs w:val="44"/>
        </w:rPr>
      </w:pPr>
      <w:r>
        <w:rPr>
          <w:rFonts w:ascii="方正小标宋_GBK" w:eastAsia="方正小标宋_GBK" w:hint="eastAsia"/>
          <w:sz w:val="44"/>
          <w:szCs w:val="44"/>
        </w:rPr>
        <w:t>公开工作年度报告</w:t>
      </w:r>
    </w:p>
    <w:p>
      <w:pPr>
        <w:ind w:firstLineChars="200" w:firstLine="632"/>
        <w:jc w:val="left"/>
      </w:pPr>
      <w:r>
        <w:t>本年报根据《中华人民共和国政府信息公开条例》(以下简称《条例》)和《2021年海关政务公开工作要点》(以下简称《要点》)，综合2021年昆明海关政府信息公开有关情况编制。</w:t>
      </w:r>
    </w:p>
    <w:p>
      <w:pPr>
        <w:jc w:val="left"/>
      </w:pPr>
      <w:r>
        <w:t>　　本年报中所列数据的统计期限自2021年1月1日起至2021年12月31日。本年报主要内容包括：总体情况、主动公开政府信息情况、收到和处理政府信息公开申请情况、政府信息公开行政复议、行政诉讼情况、存在的主要问题及改进情况。</w:t>
      </w:r>
    </w:p>
    <w:p>
      <w:pPr>
        <w:jc w:val="left"/>
      </w:pPr>
      <w:r>
        <w:t>　　本年报电子版可在“昆明海关门户网站”获取，网址：kunming.customs.gov.cn。</w:t>
      </w:r>
    </w:p>
    <w:p>
      <w:pPr>
        <w:jc w:val="left"/>
      </w:pPr>
      <w:r>
        <w:t>　　如对本年报有疑问，请联系：昆明海关办公室。地址：云南省昆明市北京路618号昆明海关1002室；邮编：650051；电话：0871-63016317；传真：0871-63016311；电子邮箱：kmhg_gwgk@customs.gov.cn。</w:t>
      </w:r>
    </w:p>
    <w:p>
      <w:pPr>
        <w:jc w:val="left"/>
      </w:pPr>
    </w:p>
    <w:p>
      <w:pPr>
        <w:jc w:val="left"/>
        <w:rPr>
          <w:rFonts w:ascii="方正黑体_GBK" w:eastAsia="方正黑体_GBK" w:hint="eastAsia"/>
        </w:rPr>
      </w:pPr>
      <w:r>
        <w:rPr>
          <w:rFonts w:ascii="方正黑体_GBK" w:eastAsia="方正黑体_GBK" w:hint="eastAsia"/>
        </w:rPr>
        <w:t>一、总体情况</w:t>
      </w:r>
    </w:p>
    <w:p>
      <w:pPr>
        <w:jc w:val="left"/>
      </w:pPr>
      <w:r>
        <w:t>　　2021年，昆明海关认真贯彻落实《中华人民共和国政府信息公开条例》，紧密围绕《2021年海关政务公开工作要点》，完善政务公开制度，贯彻以人民为中心的社会主义现代化海关政务工作要求，持续推进政务公开标准化、规范化建设，满足企业群众办事服务的实际需求。</w:t>
      </w:r>
    </w:p>
    <w:p>
      <w:pPr>
        <w:jc w:val="left"/>
      </w:pPr>
      <w:r>
        <w:t>　　</w:t>
      </w:r>
      <w:r>
        <w:rPr>
          <w:rFonts w:ascii="方正楷体_GBK" w:eastAsia="方正楷体_GBK" w:hint="eastAsia"/>
          <w:b/>
          <w:bCs/>
        </w:rPr>
        <w:t>（一）加强组织领导，推进统筹协作</w:t>
      </w:r>
    </w:p>
    <w:p>
      <w:pPr>
        <w:jc w:val="left"/>
      </w:pPr>
      <w:r>
        <w:t>　　以贯彻《2021年海关政务公开工作要点》为核心，强化政务公开工作的组织领导和统筹推动，制定下发了《2021年昆明海关政务公开工作要点》，进一步明确了关区政务公开工作的各项职责和任务。不断完善制度规范及业务流程，修订印发了《昆明海关政府信息公开工作规程》《昆明海关政府信息公开审查规程》和《昆明海关主动公开基本目录（2021年版）》，进一步强化和落实公开主体责任，按时、按要求做好本部门单位承担事项的主动公开，不遗漏、不延误、不打折扣。</w:t>
      </w:r>
    </w:p>
    <w:p>
      <w:pPr>
        <w:jc w:val="left"/>
      </w:pPr>
      <w:r>
        <w:t>　</w:t>
      </w:r>
      <w:r>
        <w:rPr>
          <w:rFonts w:ascii="方正楷体_GBK" w:eastAsia="方正楷体_GBK" w:hint="eastAsia"/>
          <w:b/>
          <w:bCs/>
        </w:rPr>
        <w:t>　（二）优化工作流程，提高工作水平</w:t>
      </w:r>
    </w:p>
    <w:p>
      <w:pPr>
        <w:jc w:val="left"/>
      </w:pPr>
      <w:r>
        <w:t>　　完善政务公开前台受理与后台办理的联动机制，进一步压缩时限，加强跟踪督办，共办理门户网站业务咨询、关长信箱等渠道留言184条。完成12360与12345热线平台的归并及知识库共享工作，实现12345热线接受海关咨询直接转接功能，降低社会公众咨询、投诉的成本。接听12360热线电话12407个，接通率98.5%，现场答复率为99%，办理反馈后台工单共22项。在关区内正式启用“海关政务公开管理子系统”及新版“政府信息公开目录系统”，进一步优化政务公开工作流程及公众信息获取途径。</w:t>
      </w:r>
    </w:p>
    <w:p>
      <w:pPr>
        <w:jc w:val="left"/>
      </w:pPr>
      <w:r>
        <w:t>　　</w:t>
      </w:r>
      <w:r>
        <w:rPr>
          <w:rFonts w:ascii="方正楷体_GBK" w:eastAsia="方正楷体_GBK" w:hint="eastAsia"/>
          <w:b/>
          <w:bCs/>
        </w:rPr>
        <w:t>（三）增加公开内容，强化公开实效</w:t>
      </w:r>
    </w:p>
    <w:p>
      <w:pPr>
        <w:ind w:firstLine="629"/>
        <w:jc w:val="left"/>
      </w:pPr>
      <w:r>
        <w:t>坚持以公开为常态、不公开为例外，遵循公正、公平、合法、便民的原则，进一步推进决策、执行、管理、服务和结果等政务运行全过程公开透明，健全双向沟通机制，加强解读回应，扩大公众参与。严格落实门户网站信息审核发布制度，安排专人负责定期对网站运行、栏目设置、内容发布进行检查和维护，确保发布内容的及时性和准确性。根据实际工作情况动态调整各类栏目及信息内容，认真分析总署网站建设客观指标，着眼“六稳六保”“政策解读”“业务指南”等重点内容，集中发布具有昆明海关特点的原创稿件，及时发布双公示、公务员招录、政府采购等各类政府信息866条。积极探索新媒体应用，紧扣疫情防控、建党100周年等重点内容，制作并发布微视频《情暖傣乡》《百年征程赓续奋进》《连关青年就这young》。紧密结合国门生物安全、动植物检疫等热点内容，撰写编发10期政策解读信息并在总署12360微信公众号发布。</w:t>
      </w:r>
    </w:p>
    <w:p>
      <w:pPr>
        <w:pStyle w:val="123"/>
        <w:pBdr>
          <w:top w:val="none" w:sz="0" w:space="0" w:color="auto"/>
          <w:left w:val="none" w:sz="0" w:space="0" w:color="auto"/>
          <w:bottom w:val="none" w:sz="0" w:space="0" w:color="auto"/>
          <w:right w:val="none" w:sz="0" w:space="0" w:color="auto"/>
        </w:pBdr>
        <w:spacing w:line="22" w:lineRule="atLeast"/>
        <w:rPr>
          <w:rFonts w:ascii="方正黑体_GBK" w:eastAsia="方正黑体_GBK" w:hint="eastAsia"/>
          <w:vanish w:val="0"/>
          <w:sz w:val="32"/>
          <w:szCs w:val="32"/>
        </w:rPr>
      </w:pPr>
      <w:r>
        <w:rPr>
          <w:rFonts w:ascii="方正黑体_GBK" w:eastAsia="方正黑体_GBK" w:hint="eastAsia"/>
          <w:vanish w:val="0"/>
          <w:sz w:val="32"/>
          <w:szCs w:val="32"/>
        </w:rPr>
        <w:t>二、主动公开政府信息情况</w:t>
      </w:r>
    </w:p>
    <w:tbl>
      <w:tblPr>
        <w:jc w:val="center"/>
        <w:tblW w:w="9000"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CellMar>
          <w:top w:w="0" w:type="dxa"/>
          <w:left w:w="0" w:type="dxa"/>
          <w:bottom w:w="0" w:type="dxa"/>
          <w:right w:w="0" w:type="dxa"/>
        </w:tblCellMar>
      </w:tblPr>
      <w:tblGrid>
        <w:gridCol w:w="2715"/>
        <w:gridCol w:w="2190"/>
        <w:gridCol w:w="1935"/>
        <w:gridCol w:w="2160"/>
      </w:tblGrid>
      <w:tr>
        <w:tc>
          <w:tcPr>
            <w:tcW w:w="9000" w:type="dxa"/>
            <w:gridSpan w:val="4"/>
            <w:tcBorders>
              <w:top w:val="single" w:sz="6" w:space="0" w:color="auto"/>
              <w:left w:val="single" w:sz="6" w:space="0" w:color="auto"/>
              <w:bottom w:val="single" w:sz="6" w:space="0" w:color="auto"/>
              <w:right w:val="single" w:sz="6" w:space="0" w:color="auto"/>
              <w:tl2br w:val="nil"/>
              <w:tr2bl w:val="nil"/>
            </w:tcBorders>
            <w:shd w:val="clear" w:color="auto" w:fill="C6D9F1"/>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第二十条第（一）项</w:t>
            </w:r>
          </w:p>
        </w:tc>
      </w:tr>
      <w:tr>
        <w:tc>
          <w:tcPr>
            <w:tcW w:w="2715" w:type="dxa"/>
            <w:tcBorders>
              <w:top w:val="nil"/>
              <w:left w:val="single" w:sz="6" w:space="0" w:color="auto"/>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信息内容</w:t>
            </w:r>
          </w:p>
        </w:tc>
        <w:tc>
          <w:tcPr>
            <w:tcW w:w="2190" w:type="dxa"/>
            <w:tcBorders>
              <w:top w:val="single" w:sz="6" w:space="0" w:color="auto"/>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本年制发件数</w:t>
            </w:r>
          </w:p>
        </w:tc>
        <w:tc>
          <w:tcPr>
            <w:tcW w:w="1935" w:type="dxa"/>
            <w:tcBorders>
              <w:top w:val="single" w:sz="6" w:space="0" w:color="auto"/>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本年废止件数</w:t>
            </w:r>
          </w:p>
        </w:tc>
        <w:tc>
          <w:tcPr>
            <w:tcW w:w="216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现行有效件数</w:t>
            </w:r>
          </w:p>
        </w:tc>
      </w:tr>
      <w:tr>
        <w:tc>
          <w:tcPr>
            <w:tcW w:w="2715" w:type="dxa"/>
            <w:tcBorders>
              <w:top w:val="nil"/>
              <w:left w:val="single" w:sz="6" w:space="0" w:color="auto"/>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规章</w:t>
            </w:r>
          </w:p>
        </w:tc>
        <w:tc>
          <w:tcPr>
            <w:tcW w:w="219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193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216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r>
      <w:tr>
        <w:tc>
          <w:tcPr>
            <w:tcW w:w="2715" w:type="dxa"/>
            <w:tcBorders>
              <w:top w:val="nil"/>
              <w:left w:val="single" w:sz="6" w:space="0" w:color="auto"/>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行政规范性文件</w:t>
            </w:r>
          </w:p>
        </w:tc>
        <w:tc>
          <w:tcPr>
            <w:tcW w:w="219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1</w:t>
            </w:r>
          </w:p>
        </w:tc>
        <w:tc>
          <w:tcPr>
            <w:tcW w:w="193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2</w:t>
            </w:r>
          </w:p>
        </w:tc>
        <w:tc>
          <w:tcPr>
            <w:tcW w:w="216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7</w:t>
            </w:r>
          </w:p>
        </w:tc>
      </w:tr>
      <w:tr>
        <w:tc>
          <w:tcPr>
            <w:tcW w:w="9000" w:type="dxa"/>
            <w:gridSpan w:val="4"/>
            <w:tcBorders>
              <w:top w:val="nil"/>
              <w:left w:val="single" w:sz="6" w:space="0" w:color="auto"/>
              <w:bottom w:val="single" w:sz="6" w:space="0" w:color="auto"/>
              <w:right w:val="single" w:sz="6" w:space="0" w:color="auto"/>
              <w:tl2br w:val="nil"/>
              <w:tr2bl w:val="nil"/>
            </w:tcBorders>
            <w:shd w:val="clear" w:color="auto" w:fill="C6D9F1"/>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第二十条第（五）项</w:t>
            </w:r>
          </w:p>
        </w:tc>
      </w:tr>
      <w:tr>
        <w:tc>
          <w:tcPr>
            <w:tcW w:w="2715" w:type="dxa"/>
            <w:tcBorders>
              <w:top w:val="nil"/>
              <w:left w:val="single" w:sz="6" w:space="0" w:color="auto"/>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信息内容</w:t>
            </w:r>
          </w:p>
        </w:tc>
        <w:tc>
          <w:tcPr>
            <w:tcW w:w="6270" w:type="dxa"/>
            <w:gridSpan w:val="3"/>
            <w:tcBorders>
              <w:top w:val="single" w:sz="6" w:space="0" w:color="auto"/>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本年处理决定数量</w:t>
            </w:r>
          </w:p>
        </w:tc>
      </w:tr>
      <w:tr>
        <w:tc>
          <w:tcPr>
            <w:tcW w:w="2715" w:type="dxa"/>
            <w:tcBorders>
              <w:top w:val="nil"/>
              <w:left w:val="single" w:sz="6" w:space="0" w:color="auto"/>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行政许可</w:t>
            </w:r>
          </w:p>
        </w:tc>
        <w:tc>
          <w:tcPr>
            <w:tcW w:w="6270" w:type="dxa"/>
            <w:gridSpan w:val="3"/>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1075</w:t>
            </w:r>
          </w:p>
        </w:tc>
      </w:tr>
      <w:tr>
        <w:tc>
          <w:tcPr>
            <w:tcW w:w="9000" w:type="dxa"/>
            <w:gridSpan w:val="4"/>
            <w:tcBorders>
              <w:top w:val="nil"/>
              <w:left w:val="single" w:sz="6" w:space="0" w:color="auto"/>
              <w:bottom w:val="single" w:sz="6" w:space="0" w:color="auto"/>
              <w:right w:val="single" w:sz="6" w:space="0" w:color="auto"/>
              <w:tl2br w:val="nil"/>
              <w:tr2bl w:val="nil"/>
            </w:tcBorders>
            <w:shd w:val="clear" w:color="auto" w:fill="C6D9F1"/>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第二十条第（六）项</w:t>
            </w:r>
          </w:p>
        </w:tc>
      </w:tr>
      <w:tr>
        <w:tc>
          <w:tcPr>
            <w:tcW w:w="2715" w:type="dxa"/>
            <w:tcBorders>
              <w:top w:val="nil"/>
              <w:left w:val="single" w:sz="6" w:space="0" w:color="auto"/>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信息内容</w:t>
            </w:r>
          </w:p>
        </w:tc>
        <w:tc>
          <w:tcPr>
            <w:tcW w:w="6270" w:type="dxa"/>
            <w:gridSpan w:val="3"/>
            <w:tcBorders>
              <w:top w:val="single" w:sz="6" w:space="0" w:color="auto"/>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本年处理决定数量</w:t>
            </w:r>
          </w:p>
        </w:tc>
      </w:tr>
      <w:tr>
        <w:tc>
          <w:tcPr>
            <w:tcW w:w="2715" w:type="dxa"/>
            <w:tcBorders>
              <w:top w:val="nil"/>
              <w:left w:val="single" w:sz="6" w:space="0" w:color="auto"/>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行政处罚</w:t>
            </w:r>
          </w:p>
        </w:tc>
        <w:tc>
          <w:tcPr>
            <w:tcW w:w="6270" w:type="dxa"/>
            <w:gridSpan w:val="3"/>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4</w:t>
            </w:r>
          </w:p>
        </w:tc>
      </w:tr>
      <w:tr>
        <w:tc>
          <w:tcPr>
            <w:tcW w:w="2715" w:type="dxa"/>
            <w:tcBorders>
              <w:top w:val="nil"/>
              <w:left w:val="single" w:sz="6" w:space="0" w:color="auto"/>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行政强制</w:t>
            </w:r>
          </w:p>
        </w:tc>
        <w:tc>
          <w:tcPr>
            <w:tcW w:w="6270" w:type="dxa"/>
            <w:gridSpan w:val="3"/>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4</w:t>
            </w:r>
          </w:p>
        </w:tc>
      </w:tr>
      <w:tr>
        <w:tc>
          <w:tcPr>
            <w:tcW w:w="9000" w:type="dxa"/>
            <w:gridSpan w:val="4"/>
            <w:tcBorders>
              <w:top w:val="nil"/>
              <w:left w:val="single" w:sz="6" w:space="0" w:color="auto"/>
              <w:bottom w:val="single" w:sz="6" w:space="0" w:color="auto"/>
              <w:right w:val="single" w:sz="6" w:space="0" w:color="auto"/>
              <w:tl2br w:val="nil"/>
              <w:tr2bl w:val="nil"/>
            </w:tcBorders>
            <w:shd w:val="clear" w:color="auto" w:fill="C6D9F1"/>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第二十条第（八）项</w:t>
            </w:r>
          </w:p>
        </w:tc>
      </w:tr>
      <w:tr>
        <w:tc>
          <w:tcPr>
            <w:tcW w:w="2715" w:type="dxa"/>
            <w:tcBorders>
              <w:top w:val="nil"/>
              <w:left w:val="single" w:sz="6" w:space="0" w:color="auto"/>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信息内容</w:t>
            </w:r>
          </w:p>
        </w:tc>
        <w:tc>
          <w:tcPr>
            <w:tcW w:w="6270" w:type="dxa"/>
            <w:gridSpan w:val="3"/>
            <w:tcBorders>
              <w:top w:val="nil"/>
              <w:left w:val="nil"/>
              <w:bottom w:val="single" w:sz="6" w:space="0" w:color="auto"/>
              <w:right w:val="single" w:sz="6" w:space="0" w:color="000000"/>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本年收费金额（单位：万元）</w:t>
            </w:r>
          </w:p>
        </w:tc>
      </w:tr>
      <w:tr>
        <w:tc>
          <w:tcPr>
            <w:tcW w:w="2715" w:type="dxa"/>
            <w:tcBorders>
              <w:top w:val="nil"/>
              <w:left w:val="single" w:sz="6" w:space="0" w:color="auto"/>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行政事业性收费</w:t>
            </w:r>
          </w:p>
        </w:tc>
        <w:tc>
          <w:tcPr>
            <w:tcW w:w="6270" w:type="dxa"/>
            <w:gridSpan w:val="3"/>
            <w:tcBorders>
              <w:top w:val="nil"/>
              <w:left w:val="nil"/>
              <w:bottom w:val="single" w:sz="6" w:space="0" w:color="auto"/>
              <w:right w:val="single" w:sz="6" w:space="0" w:color="000000"/>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r>
      <w:tr>
        <w:tc>
          <w:tcPr>
            <w:tcBorders>
              <w:top w:val="nil"/>
              <w:left w:val="nil"/>
              <w:bottom w:val="nil"/>
              <w:right w:val="nil"/>
              <w:tl2br w:val="nil"/>
              <w:tr2bl w:val="nil"/>
            </w:tcBorders>
            <w:vAlign w:val="center"/>
          </w:tcPr>
          <w:p>
            <w:pPr>
              <w:pStyle w:val="124"/>
              <w:ind w:left="0"/>
              <w:rPr>
                <w:vanish w:val="0"/>
              </w:rPr>
            </w:pPr>
          </w:p>
        </w:tc>
        <w:tc>
          <w:tcPr>
            <w:tcBorders>
              <w:top w:val="nil"/>
              <w:left w:val="nil"/>
              <w:bottom w:val="nil"/>
              <w:right w:val="nil"/>
              <w:tl2br w:val="nil"/>
              <w:tr2bl w:val="nil"/>
            </w:tcBorders>
            <w:vAlign w:val="center"/>
          </w:tcPr>
          <w:p>
            <w:pPr>
              <w:pStyle w:val="124"/>
              <w:ind w:left="0"/>
              <w:rPr>
                <w:vanish w:val="0"/>
              </w:rPr>
            </w:pPr>
          </w:p>
        </w:tc>
        <w:tc>
          <w:tcPr>
            <w:tcBorders>
              <w:top w:val="nil"/>
              <w:left w:val="nil"/>
              <w:bottom w:val="nil"/>
              <w:right w:val="nil"/>
              <w:tl2br w:val="nil"/>
              <w:tr2bl w:val="nil"/>
            </w:tcBorders>
            <w:vAlign w:val="center"/>
          </w:tcPr>
          <w:p>
            <w:pPr>
              <w:pStyle w:val="124"/>
              <w:ind w:left="0"/>
              <w:rPr>
                <w:vanish w:val="0"/>
              </w:rPr>
            </w:pPr>
          </w:p>
        </w:tc>
        <w:tc>
          <w:tcPr>
            <w:tcBorders>
              <w:top w:val="nil"/>
              <w:left w:val="nil"/>
              <w:bottom w:val="nil"/>
              <w:right w:val="nil"/>
              <w:tl2br w:val="nil"/>
              <w:tr2bl w:val="nil"/>
            </w:tcBorders>
            <w:vAlign w:val="center"/>
          </w:tcPr>
          <w:p>
            <w:pPr>
              <w:pStyle w:val="124"/>
              <w:ind w:left="0"/>
              <w:rPr>
                <w:vanish w:val="0"/>
              </w:rPr>
            </w:pPr>
          </w:p>
        </w:tc>
      </w:tr>
    </w:tbl>
    <w:p>
      <w:pPr>
        <w:pStyle w:val="123"/>
        <w:pBdr>
          <w:top w:val="none" w:sz="0" w:space="0" w:color="auto"/>
          <w:left w:val="none" w:sz="0" w:space="0" w:color="auto"/>
          <w:bottom w:val="none" w:sz="0" w:space="0" w:color="auto"/>
          <w:right w:val="none" w:sz="0" w:space="0" w:color="auto"/>
        </w:pBdr>
        <w:spacing w:line="22" w:lineRule="atLeast"/>
        <w:rPr>
          <w:rFonts w:ascii="方正黑体_GBK" w:eastAsia="方正黑体_GBK" w:hint="eastAsia"/>
          <w:vanish w:val="0"/>
          <w:sz w:val="32"/>
          <w:szCs w:val="32"/>
        </w:rPr>
      </w:pPr>
      <w:r>
        <w:rPr>
          <w:rFonts w:ascii="方正黑体_GBK" w:eastAsia="方正黑体_GBK" w:hint="eastAsia"/>
          <w:vanish w:val="0"/>
          <w:sz w:val="32"/>
          <w:szCs w:val="32"/>
        </w:rPr>
        <w:t>三、收到和处理政府信息公开申请情况</w:t>
      </w:r>
    </w:p>
    <w:tbl>
      <w:tblPr>
        <w:jc w:val="center"/>
        <w:tblW w:w="9075"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CellMar>
          <w:top w:w="0" w:type="dxa"/>
          <w:left w:w="0" w:type="dxa"/>
          <w:bottom w:w="0" w:type="dxa"/>
          <w:right w:w="0" w:type="dxa"/>
        </w:tblCellMar>
      </w:tblPr>
      <w:tblGrid>
        <w:gridCol w:w="690"/>
        <w:gridCol w:w="930"/>
        <w:gridCol w:w="2685"/>
        <w:gridCol w:w="630"/>
        <w:gridCol w:w="675"/>
        <w:gridCol w:w="750"/>
        <w:gridCol w:w="765"/>
        <w:gridCol w:w="765"/>
        <w:gridCol w:w="495"/>
        <w:gridCol w:w="690"/>
      </w:tblGrid>
      <w:tr>
        <w:tc>
          <w:tcPr>
            <w:tcW w:w="4305" w:type="dxa"/>
            <w:gridSpan w:val="3"/>
            <w:vMerge w:val="restart"/>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jc w:val="center"/>
              <w:rPr>
                <w:b/>
                <w:vanish w:val="0"/>
              </w:rPr>
            </w:pPr>
            <w:r>
              <w:rPr>
                <w:b/>
                <w:vanish w:val="0"/>
              </w:rPr>
              <w:t>　　（本列数据的勾稽关系为：第一项加第二项之和，等于第三项加第四项之和）</w:t>
            </w:r>
          </w:p>
        </w:tc>
        <w:tc>
          <w:tcPr>
            <w:tcW w:w="4770" w:type="dxa"/>
            <w:gridSpan w:val="7"/>
            <w:tcBorders>
              <w:top w:val="single" w:sz="6" w:space="0" w:color="auto"/>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jc w:val="center"/>
              <w:rPr>
                <w:b/>
                <w:vanish w:val="0"/>
              </w:rPr>
            </w:pPr>
            <w:r>
              <w:rPr>
                <w:b/>
                <w:vanish w:val="0"/>
              </w:rPr>
              <w:t>　　申请人情况</w:t>
            </w:r>
          </w:p>
        </w:tc>
      </w:tr>
      <w:tr>
        <w:tc>
          <w:tcPr>
            <w:gridSpan w:val="3"/>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tcW w:w="630" w:type="dxa"/>
            <w:vMerge w:val="restart"/>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jc w:val="center"/>
              <w:rPr>
                <w:b/>
                <w:vanish w:val="0"/>
              </w:rPr>
            </w:pPr>
            <w:r>
              <w:rPr>
                <w:b/>
                <w:vanish w:val="0"/>
              </w:rPr>
              <w:t>　　自然人</w:t>
            </w:r>
          </w:p>
        </w:tc>
        <w:tc>
          <w:tcPr>
            <w:tcW w:w="3450" w:type="dxa"/>
            <w:gridSpan w:val="5"/>
            <w:tcBorders>
              <w:top w:val="single" w:sz="6" w:space="0" w:color="auto"/>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jc w:val="center"/>
              <w:rPr>
                <w:b/>
                <w:vanish w:val="0"/>
              </w:rPr>
            </w:pPr>
            <w:r>
              <w:rPr>
                <w:b/>
                <w:vanish w:val="0"/>
              </w:rPr>
              <w:t>　　法人或其他组织</w:t>
            </w:r>
          </w:p>
        </w:tc>
        <w:tc>
          <w:tcPr>
            <w:tcW w:w="675" w:type="dxa"/>
            <w:vMerge w:val="restart"/>
            <w:tcBorders>
              <w:top w:val="single" w:sz="6" w:space="0" w:color="auto"/>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jc w:val="center"/>
              <w:rPr>
                <w:b/>
                <w:vanish w:val="0"/>
              </w:rPr>
            </w:pPr>
            <w:r>
              <w:rPr>
                <w:b/>
                <w:vanish w:val="0"/>
              </w:rPr>
              <w:t>　　总计</w:t>
            </w:r>
          </w:p>
        </w:tc>
      </w:tr>
      <w:tr>
        <w:tc>
          <w:tcPr>
            <w:gridSpan w:val="3"/>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vMerge/>
            <w:tcBorders>
              <w:top w:val="nil"/>
              <w:left w:val="nil"/>
              <w:bottom w:val="single" w:sz="6" w:space="0" w:color="auto"/>
              <w:right w:val="single" w:sz="6" w:space="0" w:color="auto"/>
              <w:tl2br w:val="nil"/>
              <w:tr2bl w:val="nil"/>
            </w:tcBorders>
            <w:shd w:val="clear" w:color="auto" w:fill="auto"/>
            <w:vAlign w:val="center"/>
          </w:tcP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jc w:val="center"/>
              <w:rPr>
                <w:b/>
                <w:vanish w:val="0"/>
              </w:rPr>
            </w:pPr>
            <w:r>
              <w:rPr>
                <w:b/>
                <w:vanish w:val="0"/>
              </w:rPr>
              <w:t>　　商业企业</w:t>
            </w:r>
          </w:p>
        </w:tc>
        <w:tc>
          <w:tcPr>
            <w:tcW w:w="75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jc w:val="center"/>
              <w:rPr>
                <w:b/>
                <w:vanish w:val="0"/>
              </w:rPr>
            </w:pPr>
            <w:r>
              <w:rPr>
                <w:b/>
                <w:vanish w:val="0"/>
              </w:rPr>
              <w:t>　　科研机构</w:t>
            </w:r>
          </w:p>
        </w:tc>
        <w:tc>
          <w:tcPr>
            <w:tcW w:w="765" w:type="dxa"/>
            <w:tcBorders>
              <w:top w:val="single" w:sz="6" w:space="0" w:color="auto"/>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jc w:val="center"/>
              <w:rPr>
                <w:b/>
                <w:vanish w:val="0"/>
              </w:rPr>
            </w:pPr>
            <w:r>
              <w:rPr>
                <w:b/>
                <w:vanish w:val="0"/>
              </w:rPr>
              <w:t>　　社会公益组织</w:t>
            </w:r>
          </w:p>
        </w:tc>
        <w:tc>
          <w:tcPr>
            <w:tcW w:w="765" w:type="dxa"/>
            <w:tcBorders>
              <w:top w:val="single" w:sz="6" w:space="0" w:color="auto"/>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jc w:val="center"/>
              <w:rPr>
                <w:b/>
                <w:vanish w:val="0"/>
              </w:rPr>
            </w:pPr>
            <w:r>
              <w:rPr>
                <w:b/>
                <w:vanish w:val="0"/>
              </w:rPr>
              <w:t>　　法律服务机构</w:t>
            </w:r>
          </w:p>
        </w:tc>
        <w:tc>
          <w:tcPr>
            <w:tcW w:w="495" w:type="dxa"/>
            <w:tcBorders>
              <w:top w:val="single" w:sz="6" w:space="0" w:color="auto"/>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jc w:val="center"/>
              <w:rPr>
                <w:b/>
                <w:vanish w:val="0"/>
              </w:rPr>
            </w:pPr>
            <w:r>
              <w:rPr>
                <w:b/>
                <w:vanish w:val="0"/>
              </w:rPr>
              <w:t>　　其他</w:t>
            </w:r>
          </w:p>
        </w:tc>
        <w:tc>
          <w:tcPr>
            <w:vMerge/>
            <w:tcBorders>
              <w:top w:val="single" w:sz="6" w:space="0" w:color="auto"/>
              <w:left w:val="nil"/>
              <w:bottom w:val="single" w:sz="6" w:space="0" w:color="auto"/>
              <w:right w:val="single" w:sz="6" w:space="0" w:color="auto"/>
              <w:tl2br w:val="nil"/>
              <w:tr2bl w:val="nil"/>
            </w:tcBorders>
            <w:shd w:val="clear" w:color="auto" w:fill="auto"/>
            <w:vAlign w:val="center"/>
          </w:tcPr>
          <w:p/>
        </w:tc>
      </w:tr>
      <w:tr>
        <w:tc>
          <w:tcPr>
            <w:tcW w:w="4305" w:type="dxa"/>
            <w:gridSpan w:val="3"/>
            <w:tcBorders>
              <w:top w:val="nil"/>
              <w:left w:val="single" w:sz="6" w:space="0" w:color="auto"/>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一、本年新收政府信息公开申请数量</w:t>
            </w:r>
          </w:p>
        </w:tc>
        <w:tc>
          <w:tcPr>
            <w:tcW w:w="63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2</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5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49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2</w:t>
            </w:r>
          </w:p>
        </w:tc>
      </w:tr>
      <w:tr>
        <w:tc>
          <w:tcPr>
            <w:tcW w:w="4305" w:type="dxa"/>
            <w:gridSpan w:val="3"/>
            <w:tcBorders>
              <w:top w:val="nil"/>
              <w:left w:val="single" w:sz="6" w:space="0" w:color="auto"/>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二、上年结转政府信息公开申请数量</w:t>
            </w:r>
          </w:p>
        </w:tc>
        <w:tc>
          <w:tcPr>
            <w:tcW w:w="63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5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49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r>
      <w:tr>
        <w:tc>
          <w:tcPr>
            <w:tcW w:w="690" w:type="dxa"/>
            <w:vMerge w:val="restart"/>
            <w:tcBorders>
              <w:top w:val="nil"/>
              <w:left w:val="single" w:sz="6" w:space="0" w:color="auto"/>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三、本年度办理结果</w:t>
            </w:r>
          </w:p>
        </w:tc>
        <w:tc>
          <w:tcPr>
            <w:tcW w:w="3600" w:type="dxa"/>
            <w:gridSpan w:val="2"/>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（一）予以公开</w:t>
            </w:r>
          </w:p>
        </w:tc>
        <w:tc>
          <w:tcPr>
            <w:tcW w:w="63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1</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5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49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single" w:sz="6" w:space="0" w:color="auto"/>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1</w:t>
            </w:r>
          </w:p>
        </w:tc>
      </w:tr>
      <w:tr>
        <w:tc>
          <w:tcPr>
            <w:vMerge/>
            <w:tcBorders>
              <w:top w:val="nil"/>
              <w:left w:val="single" w:sz="6" w:space="0" w:color="auto"/>
              <w:bottom w:val="single" w:sz="6" w:space="0" w:color="auto"/>
              <w:right w:val="single" w:sz="6" w:space="0" w:color="auto"/>
              <w:tl2br w:val="nil"/>
              <w:tr2bl w:val="nil"/>
            </w:tcBorders>
            <w:shd w:val="clear" w:color="auto" w:fill="auto"/>
            <w:vAlign w:val="center"/>
          </w:tcPr>
          <w:p/>
        </w:tc>
        <w:tc>
          <w:tcPr>
            <w:tcW w:w="3600" w:type="dxa"/>
            <w:gridSpan w:val="2"/>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（二）部分公开（区分处理的，只计这一情形，不计其他情形）</w:t>
            </w:r>
          </w:p>
        </w:tc>
        <w:tc>
          <w:tcPr>
            <w:tcW w:w="63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5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49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r>
      <w:tr>
        <w:tc>
          <w:tcPr>
            <w:vMerge/>
            <w:tcBorders>
              <w:top w:val="nil"/>
              <w:left w:val="single" w:sz="6" w:space="0" w:color="auto"/>
              <w:bottom w:val="single" w:sz="6" w:space="0" w:color="auto"/>
              <w:right w:val="single" w:sz="6" w:space="0" w:color="auto"/>
              <w:tl2br w:val="nil"/>
              <w:tr2bl w:val="nil"/>
            </w:tcBorders>
            <w:shd w:val="clear" w:color="auto" w:fill="auto"/>
            <w:vAlign w:val="center"/>
          </w:tcPr>
          <w:p/>
        </w:tc>
        <w:tc>
          <w:tcPr>
            <w:tcW w:w="930" w:type="dxa"/>
            <w:vMerge w:val="restart"/>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（三）不予公开</w:t>
            </w:r>
          </w:p>
        </w:tc>
        <w:tc>
          <w:tcPr>
            <w:tcW w:w="267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1.属于国家秘密</w:t>
            </w:r>
          </w:p>
        </w:tc>
        <w:tc>
          <w:tcPr>
            <w:tcW w:w="63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5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49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single" w:sz="6" w:space="0" w:color="auto"/>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r>
      <w:tr>
        <w:tc>
          <w:tcPr>
            <w:vMerge/>
            <w:tcBorders>
              <w:top w:val="nil"/>
              <w:left w:val="single" w:sz="6" w:space="0" w:color="auto"/>
              <w:bottom w:val="single" w:sz="6" w:space="0" w:color="auto"/>
              <w:right w:val="single" w:sz="6" w:space="0" w:color="auto"/>
              <w:tl2br w:val="nil"/>
              <w:tr2bl w:val="nil"/>
            </w:tcBorders>
            <w:shd w:val="clear" w:color="auto" w:fill="auto"/>
            <w:vAlign w:val="center"/>
          </w:tcPr>
          <w:p/>
        </w:tc>
        <w:tc>
          <w:tcPr>
            <w:vMerge/>
            <w:tcBorders>
              <w:top w:val="nil"/>
              <w:left w:val="nil"/>
              <w:bottom w:val="single" w:sz="6" w:space="0" w:color="auto"/>
              <w:right w:val="single" w:sz="6" w:space="0" w:color="auto"/>
              <w:tl2br w:val="nil"/>
              <w:tr2bl w:val="nil"/>
            </w:tcBorders>
            <w:shd w:val="clear" w:color="auto" w:fill="auto"/>
            <w:vAlign w:val="center"/>
          </w:tcPr>
          <w:p/>
        </w:tc>
        <w:tc>
          <w:tcPr>
            <w:tcW w:w="267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2.其他法律行政法规禁止公开</w:t>
            </w:r>
          </w:p>
        </w:tc>
        <w:tc>
          <w:tcPr>
            <w:tcW w:w="63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5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49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r>
      <w:tr>
        <w:tc>
          <w:tcPr>
            <w:vMerge/>
            <w:tcBorders>
              <w:top w:val="nil"/>
              <w:left w:val="single" w:sz="6" w:space="0" w:color="auto"/>
              <w:bottom w:val="single" w:sz="6" w:space="0" w:color="auto"/>
              <w:right w:val="single" w:sz="6" w:space="0" w:color="auto"/>
              <w:tl2br w:val="nil"/>
              <w:tr2bl w:val="nil"/>
            </w:tcBorders>
            <w:shd w:val="clear" w:color="auto" w:fill="auto"/>
            <w:vAlign w:val="center"/>
          </w:tcPr>
          <w:p/>
        </w:tc>
        <w:tc>
          <w:tcPr>
            <w:vMerge/>
            <w:tcBorders>
              <w:top w:val="nil"/>
              <w:left w:val="nil"/>
              <w:bottom w:val="single" w:sz="6" w:space="0" w:color="auto"/>
              <w:right w:val="single" w:sz="6" w:space="0" w:color="auto"/>
              <w:tl2br w:val="nil"/>
              <w:tr2bl w:val="nil"/>
            </w:tcBorders>
            <w:shd w:val="clear" w:color="auto" w:fill="auto"/>
            <w:vAlign w:val="center"/>
          </w:tcPr>
          <w:p/>
        </w:tc>
        <w:tc>
          <w:tcPr>
            <w:tcW w:w="267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3.危及“三安全一稳定”</w:t>
            </w:r>
          </w:p>
        </w:tc>
        <w:tc>
          <w:tcPr>
            <w:tcW w:w="63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5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49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4"/>
              <w:ind w:left="0"/>
              <w:rPr>
                <w:vanish w:val="0"/>
              </w:rPr>
            </w:pPr>
          </w:p>
        </w:tc>
      </w:tr>
      <w:tr>
        <w:tc>
          <w:tcPr>
            <w:vMerge/>
            <w:tcBorders>
              <w:top w:val="nil"/>
              <w:left w:val="single" w:sz="6" w:space="0" w:color="auto"/>
              <w:bottom w:val="single" w:sz="6" w:space="0" w:color="auto"/>
              <w:right w:val="single" w:sz="6" w:space="0" w:color="auto"/>
              <w:tl2br w:val="nil"/>
              <w:tr2bl w:val="nil"/>
            </w:tcBorders>
            <w:shd w:val="clear" w:color="auto" w:fill="auto"/>
            <w:vAlign w:val="center"/>
          </w:tcPr>
          <w:p/>
        </w:tc>
        <w:tc>
          <w:tcPr>
            <w:vMerge/>
            <w:tcBorders>
              <w:top w:val="nil"/>
              <w:left w:val="nil"/>
              <w:bottom w:val="single" w:sz="6" w:space="0" w:color="auto"/>
              <w:right w:val="single" w:sz="6" w:space="0" w:color="auto"/>
              <w:tl2br w:val="nil"/>
              <w:tr2bl w:val="nil"/>
            </w:tcBorders>
            <w:shd w:val="clear" w:color="auto" w:fill="auto"/>
            <w:vAlign w:val="center"/>
          </w:tcPr>
          <w:p/>
        </w:tc>
        <w:tc>
          <w:tcPr>
            <w:tcW w:w="267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4.保护第三方合法权益</w:t>
            </w:r>
          </w:p>
        </w:tc>
        <w:tc>
          <w:tcPr>
            <w:tcW w:w="63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5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49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r>
      <w:tr>
        <w:tc>
          <w:tcPr>
            <w:vMerge/>
            <w:tcBorders>
              <w:top w:val="nil"/>
              <w:left w:val="single" w:sz="6" w:space="0" w:color="auto"/>
              <w:bottom w:val="single" w:sz="6" w:space="0" w:color="auto"/>
              <w:right w:val="single" w:sz="6" w:space="0" w:color="auto"/>
              <w:tl2br w:val="nil"/>
              <w:tr2bl w:val="nil"/>
            </w:tcBorders>
            <w:shd w:val="clear" w:color="auto" w:fill="auto"/>
            <w:vAlign w:val="center"/>
          </w:tcPr>
          <w:p/>
        </w:tc>
        <w:tc>
          <w:tcPr>
            <w:vMerge/>
            <w:tcBorders>
              <w:top w:val="nil"/>
              <w:left w:val="nil"/>
              <w:bottom w:val="single" w:sz="6" w:space="0" w:color="auto"/>
              <w:right w:val="single" w:sz="6" w:space="0" w:color="auto"/>
              <w:tl2br w:val="nil"/>
              <w:tr2bl w:val="nil"/>
            </w:tcBorders>
            <w:shd w:val="clear" w:color="auto" w:fill="auto"/>
            <w:vAlign w:val="center"/>
          </w:tcPr>
          <w:p/>
        </w:tc>
        <w:tc>
          <w:tcPr>
            <w:tcW w:w="267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5.属于三类内部事务信息</w:t>
            </w:r>
          </w:p>
        </w:tc>
        <w:tc>
          <w:tcPr>
            <w:tcW w:w="63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5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49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r>
      <w:tr>
        <w:tc>
          <w:tcPr>
            <w:vMerge/>
            <w:tcBorders>
              <w:top w:val="nil"/>
              <w:left w:val="single" w:sz="6" w:space="0" w:color="auto"/>
              <w:bottom w:val="single" w:sz="6" w:space="0" w:color="auto"/>
              <w:right w:val="single" w:sz="6" w:space="0" w:color="auto"/>
              <w:tl2br w:val="nil"/>
              <w:tr2bl w:val="nil"/>
            </w:tcBorders>
            <w:shd w:val="clear" w:color="auto" w:fill="auto"/>
            <w:vAlign w:val="center"/>
          </w:tcPr>
          <w:p/>
        </w:tc>
        <w:tc>
          <w:tcPr>
            <w:vMerge/>
            <w:tcBorders>
              <w:top w:val="nil"/>
              <w:left w:val="nil"/>
              <w:bottom w:val="single" w:sz="6" w:space="0" w:color="auto"/>
              <w:right w:val="single" w:sz="6" w:space="0" w:color="auto"/>
              <w:tl2br w:val="nil"/>
              <w:tr2bl w:val="nil"/>
            </w:tcBorders>
            <w:shd w:val="clear" w:color="auto" w:fill="auto"/>
            <w:vAlign w:val="center"/>
          </w:tcPr>
          <w:p/>
        </w:tc>
        <w:tc>
          <w:tcPr>
            <w:tcW w:w="267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6.属于四类过程性信息</w:t>
            </w:r>
          </w:p>
        </w:tc>
        <w:tc>
          <w:tcPr>
            <w:tcW w:w="63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5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49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r>
      <w:tr>
        <w:tc>
          <w:tcPr>
            <w:vMerge/>
            <w:tcBorders>
              <w:top w:val="nil"/>
              <w:left w:val="single" w:sz="6" w:space="0" w:color="auto"/>
              <w:bottom w:val="single" w:sz="6" w:space="0" w:color="auto"/>
              <w:right w:val="single" w:sz="6" w:space="0" w:color="auto"/>
              <w:tl2br w:val="nil"/>
              <w:tr2bl w:val="nil"/>
            </w:tcBorders>
            <w:shd w:val="clear" w:color="auto" w:fill="auto"/>
            <w:vAlign w:val="center"/>
          </w:tcPr>
          <w:p/>
        </w:tc>
        <w:tc>
          <w:tcPr>
            <w:vMerge/>
            <w:tcBorders>
              <w:top w:val="nil"/>
              <w:left w:val="nil"/>
              <w:bottom w:val="single" w:sz="6" w:space="0" w:color="auto"/>
              <w:right w:val="single" w:sz="6" w:space="0" w:color="auto"/>
              <w:tl2br w:val="nil"/>
              <w:tr2bl w:val="nil"/>
            </w:tcBorders>
            <w:shd w:val="clear" w:color="auto" w:fill="auto"/>
            <w:vAlign w:val="center"/>
          </w:tcPr>
          <w:p/>
        </w:tc>
        <w:tc>
          <w:tcPr>
            <w:tcW w:w="267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7.属于行政执法案卷</w:t>
            </w:r>
          </w:p>
        </w:tc>
        <w:tc>
          <w:tcPr>
            <w:tcW w:w="63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5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49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r>
      <w:tr>
        <w:tc>
          <w:tcPr>
            <w:vMerge/>
            <w:tcBorders>
              <w:top w:val="nil"/>
              <w:left w:val="single" w:sz="6" w:space="0" w:color="auto"/>
              <w:bottom w:val="single" w:sz="6" w:space="0" w:color="auto"/>
              <w:right w:val="single" w:sz="6" w:space="0" w:color="auto"/>
              <w:tl2br w:val="nil"/>
              <w:tr2bl w:val="nil"/>
            </w:tcBorders>
            <w:shd w:val="clear" w:color="auto" w:fill="auto"/>
            <w:vAlign w:val="center"/>
          </w:tcPr>
          <w:p/>
        </w:tc>
        <w:tc>
          <w:tcPr>
            <w:vMerge/>
            <w:tcBorders>
              <w:top w:val="nil"/>
              <w:left w:val="nil"/>
              <w:bottom w:val="single" w:sz="6" w:space="0" w:color="auto"/>
              <w:right w:val="single" w:sz="6" w:space="0" w:color="auto"/>
              <w:tl2br w:val="nil"/>
              <w:tr2bl w:val="nil"/>
            </w:tcBorders>
            <w:shd w:val="clear" w:color="auto" w:fill="auto"/>
            <w:vAlign w:val="center"/>
          </w:tcPr>
          <w:p/>
        </w:tc>
        <w:tc>
          <w:tcPr>
            <w:tcW w:w="267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8.属于行政查询事项</w:t>
            </w:r>
          </w:p>
        </w:tc>
        <w:tc>
          <w:tcPr>
            <w:tcW w:w="63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5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49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r>
      <w:tr>
        <w:tc>
          <w:tcPr>
            <w:vMerge/>
            <w:tcBorders>
              <w:top w:val="nil"/>
              <w:left w:val="single" w:sz="6" w:space="0" w:color="auto"/>
              <w:bottom w:val="single" w:sz="6" w:space="0" w:color="auto"/>
              <w:right w:val="single" w:sz="6" w:space="0" w:color="auto"/>
              <w:tl2br w:val="nil"/>
              <w:tr2bl w:val="nil"/>
            </w:tcBorders>
            <w:shd w:val="clear" w:color="auto" w:fill="auto"/>
            <w:vAlign w:val="center"/>
          </w:tcPr>
          <w:p/>
        </w:tc>
        <w:tc>
          <w:tcPr>
            <w:tcW w:w="930" w:type="dxa"/>
            <w:vMerge w:val="restart"/>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（四）无法提供</w:t>
            </w:r>
          </w:p>
        </w:tc>
        <w:tc>
          <w:tcPr>
            <w:tcW w:w="267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1.本机关不掌握相关政府信息</w:t>
            </w:r>
          </w:p>
        </w:tc>
        <w:tc>
          <w:tcPr>
            <w:tcW w:w="63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5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49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r>
      <w:tr>
        <w:tc>
          <w:tcPr>
            <w:vMerge/>
            <w:tcBorders>
              <w:top w:val="nil"/>
              <w:left w:val="single" w:sz="6" w:space="0" w:color="auto"/>
              <w:bottom w:val="single" w:sz="6" w:space="0" w:color="auto"/>
              <w:right w:val="single" w:sz="6" w:space="0" w:color="auto"/>
              <w:tl2br w:val="nil"/>
              <w:tr2bl w:val="nil"/>
            </w:tcBorders>
            <w:shd w:val="clear" w:color="auto" w:fill="auto"/>
            <w:vAlign w:val="center"/>
          </w:tcPr>
          <w:p/>
        </w:tc>
        <w:tc>
          <w:tcPr>
            <w:vMerge/>
            <w:tcBorders>
              <w:top w:val="nil"/>
              <w:left w:val="nil"/>
              <w:bottom w:val="single" w:sz="6" w:space="0" w:color="auto"/>
              <w:right w:val="single" w:sz="6" w:space="0" w:color="auto"/>
              <w:tl2br w:val="nil"/>
              <w:tr2bl w:val="nil"/>
            </w:tcBorders>
            <w:shd w:val="clear" w:color="auto" w:fill="auto"/>
            <w:vAlign w:val="center"/>
          </w:tcPr>
          <w:p/>
        </w:tc>
        <w:tc>
          <w:tcPr>
            <w:tcW w:w="267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2.没有现成信息需要另行制作</w:t>
            </w:r>
          </w:p>
        </w:tc>
        <w:tc>
          <w:tcPr>
            <w:tcW w:w="63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1</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5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49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1</w:t>
            </w:r>
          </w:p>
        </w:tc>
      </w:tr>
      <w:tr>
        <w:tc>
          <w:tcPr>
            <w:vMerge/>
            <w:tcBorders>
              <w:top w:val="nil"/>
              <w:left w:val="single" w:sz="6" w:space="0" w:color="auto"/>
              <w:bottom w:val="single" w:sz="6" w:space="0" w:color="auto"/>
              <w:right w:val="single" w:sz="6" w:space="0" w:color="auto"/>
              <w:tl2br w:val="nil"/>
              <w:tr2bl w:val="nil"/>
            </w:tcBorders>
            <w:shd w:val="clear" w:color="auto" w:fill="auto"/>
            <w:vAlign w:val="center"/>
          </w:tcPr>
          <w:p/>
        </w:tc>
        <w:tc>
          <w:tcPr>
            <w:vMerge/>
            <w:tcBorders>
              <w:top w:val="nil"/>
              <w:left w:val="nil"/>
              <w:bottom w:val="single" w:sz="6" w:space="0" w:color="auto"/>
              <w:right w:val="single" w:sz="6" w:space="0" w:color="auto"/>
              <w:tl2br w:val="nil"/>
              <w:tr2bl w:val="nil"/>
            </w:tcBorders>
            <w:shd w:val="clear" w:color="auto" w:fill="auto"/>
            <w:vAlign w:val="center"/>
          </w:tcPr>
          <w:p/>
        </w:tc>
        <w:tc>
          <w:tcPr>
            <w:tcW w:w="267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3.补正后申请内容仍不明确</w:t>
            </w:r>
          </w:p>
        </w:tc>
        <w:tc>
          <w:tcPr>
            <w:tcW w:w="63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5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49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r>
      <w:tr>
        <w:tc>
          <w:tcPr>
            <w:vMerge/>
            <w:tcBorders>
              <w:top w:val="nil"/>
              <w:left w:val="single" w:sz="6" w:space="0" w:color="auto"/>
              <w:bottom w:val="single" w:sz="6" w:space="0" w:color="auto"/>
              <w:right w:val="single" w:sz="6" w:space="0" w:color="auto"/>
              <w:tl2br w:val="nil"/>
              <w:tr2bl w:val="nil"/>
            </w:tcBorders>
            <w:shd w:val="clear" w:color="auto" w:fill="auto"/>
            <w:vAlign w:val="center"/>
          </w:tcPr>
          <w:p/>
        </w:tc>
        <w:tc>
          <w:tcPr>
            <w:tcW w:w="930" w:type="dxa"/>
            <w:vMerge w:val="restart"/>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（五）不予处理</w:t>
            </w:r>
          </w:p>
        </w:tc>
        <w:tc>
          <w:tcPr>
            <w:tcW w:w="267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1.信访举报投诉类申请</w:t>
            </w:r>
          </w:p>
        </w:tc>
        <w:tc>
          <w:tcPr>
            <w:tcW w:w="63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5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49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r>
      <w:tr>
        <w:tc>
          <w:tcPr>
            <w:vMerge/>
            <w:tcBorders>
              <w:top w:val="nil"/>
              <w:left w:val="single" w:sz="6" w:space="0" w:color="auto"/>
              <w:bottom w:val="single" w:sz="6" w:space="0" w:color="auto"/>
              <w:right w:val="single" w:sz="6" w:space="0" w:color="auto"/>
              <w:tl2br w:val="nil"/>
              <w:tr2bl w:val="nil"/>
            </w:tcBorders>
            <w:shd w:val="clear" w:color="auto" w:fill="auto"/>
            <w:vAlign w:val="center"/>
          </w:tcPr>
          <w:p/>
        </w:tc>
        <w:tc>
          <w:tcPr>
            <w:vMerge/>
            <w:tcBorders>
              <w:top w:val="nil"/>
              <w:left w:val="nil"/>
              <w:bottom w:val="single" w:sz="6" w:space="0" w:color="auto"/>
              <w:right w:val="single" w:sz="6" w:space="0" w:color="auto"/>
              <w:tl2br w:val="nil"/>
              <w:tr2bl w:val="nil"/>
            </w:tcBorders>
            <w:shd w:val="clear" w:color="auto" w:fill="auto"/>
            <w:vAlign w:val="center"/>
          </w:tcPr>
          <w:p/>
        </w:tc>
        <w:tc>
          <w:tcPr>
            <w:tcW w:w="267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2.重复申请</w:t>
            </w:r>
          </w:p>
        </w:tc>
        <w:tc>
          <w:tcPr>
            <w:tcW w:w="63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5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49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r>
      <w:tr>
        <w:tc>
          <w:tcPr>
            <w:vMerge/>
            <w:tcBorders>
              <w:top w:val="nil"/>
              <w:left w:val="single" w:sz="6" w:space="0" w:color="auto"/>
              <w:bottom w:val="single" w:sz="6" w:space="0" w:color="auto"/>
              <w:right w:val="single" w:sz="6" w:space="0" w:color="auto"/>
              <w:tl2br w:val="nil"/>
              <w:tr2bl w:val="nil"/>
            </w:tcBorders>
            <w:shd w:val="clear" w:color="auto" w:fill="auto"/>
            <w:vAlign w:val="center"/>
          </w:tcPr>
          <w:p/>
        </w:tc>
        <w:tc>
          <w:tcPr>
            <w:vMerge/>
            <w:tcBorders>
              <w:top w:val="nil"/>
              <w:left w:val="nil"/>
              <w:bottom w:val="single" w:sz="6" w:space="0" w:color="auto"/>
              <w:right w:val="single" w:sz="6" w:space="0" w:color="auto"/>
              <w:tl2br w:val="nil"/>
              <w:tr2bl w:val="nil"/>
            </w:tcBorders>
            <w:shd w:val="clear" w:color="auto" w:fill="auto"/>
            <w:vAlign w:val="center"/>
          </w:tcPr>
          <w:p/>
        </w:tc>
        <w:tc>
          <w:tcPr>
            <w:tcW w:w="267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3.要求提供公开出版物</w:t>
            </w:r>
          </w:p>
        </w:tc>
        <w:tc>
          <w:tcPr>
            <w:tcW w:w="63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5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49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r>
      <w:tr>
        <w:tc>
          <w:tcPr>
            <w:vMerge/>
            <w:tcBorders>
              <w:top w:val="nil"/>
              <w:left w:val="single" w:sz="6" w:space="0" w:color="auto"/>
              <w:bottom w:val="single" w:sz="6" w:space="0" w:color="auto"/>
              <w:right w:val="single" w:sz="6" w:space="0" w:color="auto"/>
              <w:tl2br w:val="nil"/>
              <w:tr2bl w:val="nil"/>
            </w:tcBorders>
            <w:shd w:val="clear" w:color="auto" w:fill="auto"/>
            <w:vAlign w:val="center"/>
          </w:tcPr>
          <w:p/>
        </w:tc>
        <w:tc>
          <w:tcPr>
            <w:vMerge/>
            <w:tcBorders>
              <w:top w:val="nil"/>
              <w:left w:val="nil"/>
              <w:bottom w:val="single" w:sz="6" w:space="0" w:color="auto"/>
              <w:right w:val="single" w:sz="6" w:space="0" w:color="auto"/>
              <w:tl2br w:val="nil"/>
              <w:tr2bl w:val="nil"/>
            </w:tcBorders>
            <w:shd w:val="clear" w:color="auto" w:fill="auto"/>
            <w:vAlign w:val="center"/>
          </w:tcPr>
          <w:p/>
        </w:tc>
        <w:tc>
          <w:tcPr>
            <w:tcW w:w="267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4.无正当理由大量反复申请</w:t>
            </w:r>
          </w:p>
        </w:tc>
        <w:tc>
          <w:tcPr>
            <w:tcW w:w="63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5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49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r>
      <w:tr>
        <w:tc>
          <w:tcPr>
            <w:vMerge/>
            <w:tcBorders>
              <w:top w:val="nil"/>
              <w:left w:val="single" w:sz="6" w:space="0" w:color="auto"/>
              <w:bottom w:val="single" w:sz="6" w:space="0" w:color="auto"/>
              <w:right w:val="single" w:sz="6" w:space="0" w:color="auto"/>
              <w:tl2br w:val="nil"/>
              <w:tr2bl w:val="nil"/>
            </w:tcBorders>
            <w:shd w:val="clear" w:color="auto" w:fill="auto"/>
            <w:vAlign w:val="center"/>
          </w:tcPr>
          <w:p/>
        </w:tc>
        <w:tc>
          <w:tcPr>
            <w:vMerge/>
            <w:tcBorders>
              <w:top w:val="nil"/>
              <w:left w:val="nil"/>
              <w:bottom w:val="single" w:sz="6" w:space="0" w:color="auto"/>
              <w:right w:val="single" w:sz="6" w:space="0" w:color="auto"/>
              <w:tl2br w:val="nil"/>
              <w:tr2bl w:val="nil"/>
            </w:tcBorders>
            <w:shd w:val="clear" w:color="auto" w:fill="auto"/>
            <w:vAlign w:val="center"/>
          </w:tcPr>
          <w:p/>
        </w:tc>
        <w:tc>
          <w:tcPr>
            <w:tcW w:w="267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5.要求行政机关确认或重新出具已获取信息</w:t>
            </w:r>
          </w:p>
        </w:tc>
        <w:tc>
          <w:tcPr>
            <w:tcW w:w="63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5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49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r>
      <w:tr>
        <w:tc>
          <w:tcPr>
            <w:vMerge/>
            <w:tcBorders>
              <w:top w:val="nil"/>
              <w:left w:val="single" w:sz="6" w:space="0" w:color="auto"/>
              <w:bottom w:val="single" w:sz="6" w:space="0" w:color="auto"/>
              <w:right w:val="single" w:sz="6" w:space="0" w:color="auto"/>
              <w:tl2br w:val="nil"/>
              <w:tr2bl w:val="nil"/>
            </w:tcBorders>
            <w:shd w:val="clear" w:color="auto" w:fill="auto"/>
            <w:vAlign w:val="center"/>
          </w:tcPr>
          <w:p/>
        </w:tc>
        <w:tc>
          <w:tcPr>
            <w:tcW w:w="930" w:type="dxa"/>
            <w:vMerge w:val="restart"/>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（六）其他处理</w:t>
            </w:r>
          </w:p>
        </w:tc>
        <w:tc>
          <w:tcPr>
            <w:tcW w:w="2670" w:type="dxa"/>
            <w:tcBorders>
              <w:top w:val="nil"/>
              <w:left w:val="single" w:sz="6" w:space="0" w:color="auto"/>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1.申请人无正当理由逾期不补正、行政机关不再处理其政府信息公开申请</w:t>
            </w:r>
          </w:p>
        </w:tc>
        <w:tc>
          <w:tcPr>
            <w:tcW w:w="63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5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49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r>
      <w:tr>
        <w:tc>
          <w:tcPr>
            <w:vMerge/>
            <w:tcBorders>
              <w:top w:val="nil"/>
              <w:left w:val="single" w:sz="6" w:space="0" w:color="auto"/>
              <w:bottom w:val="single" w:sz="6" w:space="0" w:color="auto"/>
              <w:right w:val="single" w:sz="6" w:space="0" w:color="auto"/>
              <w:tl2br w:val="nil"/>
              <w:tr2bl w:val="nil"/>
            </w:tcBorders>
            <w:shd w:val="clear" w:color="auto" w:fill="auto"/>
            <w:vAlign w:val="center"/>
          </w:tcPr>
          <w:p/>
        </w:tc>
        <w:tc>
          <w:tcPr>
            <w:vMerge/>
            <w:tcBorders>
              <w:top w:val="nil"/>
              <w:left w:val="nil"/>
              <w:bottom w:val="single" w:sz="6" w:space="0" w:color="auto"/>
              <w:right w:val="single" w:sz="6" w:space="0" w:color="auto"/>
              <w:tl2br w:val="nil"/>
              <w:tr2bl w:val="nil"/>
            </w:tcBorders>
            <w:shd w:val="clear" w:color="auto" w:fill="auto"/>
            <w:vAlign w:val="center"/>
          </w:tcPr>
          <w:p/>
        </w:tc>
        <w:tc>
          <w:tcPr>
            <w:tcW w:w="2670" w:type="dxa"/>
            <w:tcBorders>
              <w:top w:val="nil"/>
              <w:left w:val="single" w:sz="6" w:space="0" w:color="auto"/>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2.申请人逾期未按收费通知要求缴纳费用、行政机关不再处理其政府信息公开申请</w:t>
            </w:r>
          </w:p>
        </w:tc>
        <w:tc>
          <w:tcPr>
            <w:tcW w:w="63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5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49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r>
      <w:tr>
        <w:tc>
          <w:tcPr>
            <w:vMerge/>
            <w:tcBorders>
              <w:top w:val="nil"/>
              <w:left w:val="single" w:sz="6" w:space="0" w:color="auto"/>
              <w:bottom w:val="single" w:sz="6" w:space="0" w:color="auto"/>
              <w:right w:val="single" w:sz="6" w:space="0" w:color="auto"/>
              <w:tl2br w:val="nil"/>
              <w:tr2bl w:val="nil"/>
            </w:tcBorders>
            <w:shd w:val="clear" w:color="auto" w:fill="auto"/>
            <w:vAlign w:val="center"/>
          </w:tcPr>
          <w:p/>
        </w:tc>
        <w:tc>
          <w:tcPr>
            <w:vMerge/>
            <w:tcBorders>
              <w:top w:val="nil"/>
              <w:left w:val="nil"/>
              <w:bottom w:val="single" w:sz="6" w:space="0" w:color="auto"/>
              <w:right w:val="single" w:sz="6" w:space="0" w:color="auto"/>
              <w:tl2br w:val="nil"/>
              <w:tr2bl w:val="nil"/>
            </w:tcBorders>
            <w:shd w:val="clear" w:color="auto" w:fill="auto"/>
            <w:vAlign w:val="center"/>
          </w:tcPr>
          <w:p/>
        </w:tc>
        <w:tc>
          <w:tcPr>
            <w:tcW w:w="2670" w:type="dxa"/>
            <w:tcBorders>
              <w:top w:val="nil"/>
              <w:left w:val="single" w:sz="6" w:space="0" w:color="auto"/>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3.咨询事项，指引咨询渠道</w:t>
            </w:r>
          </w:p>
        </w:tc>
        <w:tc>
          <w:tcPr>
            <w:tcW w:w="63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5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49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r>
      <w:tr>
        <w:tc>
          <w:tcPr>
            <w:vMerge/>
            <w:tcBorders>
              <w:top w:val="nil"/>
              <w:left w:val="single" w:sz="6" w:space="0" w:color="auto"/>
              <w:bottom w:val="single" w:sz="6" w:space="0" w:color="auto"/>
              <w:right w:val="single" w:sz="6" w:space="0" w:color="auto"/>
              <w:tl2br w:val="nil"/>
              <w:tr2bl w:val="nil"/>
            </w:tcBorders>
            <w:shd w:val="clear" w:color="auto" w:fill="auto"/>
            <w:vAlign w:val="center"/>
          </w:tcPr>
          <w:p/>
        </w:tc>
        <w:tc>
          <w:tcPr>
            <w:vMerge/>
            <w:tcBorders>
              <w:top w:val="nil"/>
              <w:left w:val="nil"/>
              <w:bottom w:val="single" w:sz="6" w:space="0" w:color="auto"/>
              <w:right w:val="single" w:sz="6" w:space="0" w:color="auto"/>
              <w:tl2br w:val="nil"/>
              <w:tr2bl w:val="nil"/>
            </w:tcBorders>
            <w:shd w:val="clear" w:color="auto" w:fill="auto"/>
            <w:vAlign w:val="center"/>
          </w:tcPr>
          <w:p/>
        </w:tc>
        <w:tc>
          <w:tcPr>
            <w:tcW w:w="2670" w:type="dxa"/>
            <w:tcBorders>
              <w:top w:val="nil"/>
              <w:left w:val="single" w:sz="6" w:space="0" w:color="auto"/>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4.申请人撤销申请</w:t>
            </w:r>
          </w:p>
        </w:tc>
        <w:tc>
          <w:tcPr>
            <w:tcW w:w="63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5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49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r>
      <w:tr>
        <w:tc>
          <w:tcPr>
            <w:vMerge/>
            <w:tcBorders>
              <w:top w:val="nil"/>
              <w:left w:val="single" w:sz="6" w:space="0" w:color="auto"/>
              <w:bottom w:val="single" w:sz="6" w:space="0" w:color="auto"/>
              <w:right w:val="single" w:sz="6" w:space="0" w:color="auto"/>
              <w:tl2br w:val="nil"/>
              <w:tr2bl w:val="nil"/>
            </w:tcBorders>
            <w:shd w:val="clear" w:color="auto" w:fill="auto"/>
            <w:vAlign w:val="center"/>
          </w:tcPr>
          <w:p/>
        </w:tc>
        <w:tc>
          <w:tcPr>
            <w:tcW w:w="3600" w:type="dxa"/>
            <w:gridSpan w:val="2"/>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（七）总计</w:t>
            </w:r>
          </w:p>
        </w:tc>
        <w:tc>
          <w:tcPr>
            <w:tcW w:w="63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2</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5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49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2</w:t>
            </w:r>
          </w:p>
        </w:tc>
      </w:tr>
      <w:tr>
        <w:tc>
          <w:tcPr>
            <w:tcW w:w="4305" w:type="dxa"/>
            <w:gridSpan w:val="3"/>
            <w:tcBorders>
              <w:top w:val="nil"/>
              <w:left w:val="single" w:sz="6" w:space="0" w:color="auto"/>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四、结转下年度继续办理</w:t>
            </w:r>
          </w:p>
        </w:tc>
        <w:tc>
          <w:tcPr>
            <w:tcW w:w="63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5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76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49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7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r>
      <w:tr>
        <w:tc>
          <w:tcPr>
            <w:tcBorders>
              <w:top w:val="nil"/>
              <w:left w:val="nil"/>
              <w:bottom w:val="nil"/>
              <w:right w:val="nil"/>
              <w:tl2br w:val="nil"/>
              <w:tr2bl w:val="nil"/>
            </w:tcBorders>
            <w:vAlign w:val="center"/>
          </w:tcPr>
          <w:p>
            <w:pPr>
              <w:pStyle w:val="124"/>
              <w:ind w:left="0"/>
              <w:rPr>
                <w:vanish w:val="0"/>
              </w:rPr>
            </w:pPr>
          </w:p>
        </w:tc>
        <w:tc>
          <w:tcPr>
            <w:tcBorders>
              <w:top w:val="nil"/>
              <w:left w:val="nil"/>
              <w:bottom w:val="nil"/>
              <w:right w:val="nil"/>
              <w:tl2br w:val="nil"/>
              <w:tr2bl w:val="nil"/>
            </w:tcBorders>
            <w:vAlign w:val="center"/>
          </w:tcPr>
          <w:p>
            <w:pPr>
              <w:pStyle w:val="124"/>
              <w:ind w:left="0"/>
              <w:rPr>
                <w:vanish w:val="0"/>
              </w:rPr>
            </w:pPr>
          </w:p>
        </w:tc>
        <w:tc>
          <w:tcPr>
            <w:tcBorders>
              <w:top w:val="nil"/>
              <w:left w:val="nil"/>
              <w:bottom w:val="nil"/>
              <w:right w:val="nil"/>
              <w:tl2br w:val="nil"/>
              <w:tr2bl w:val="nil"/>
            </w:tcBorders>
            <w:vAlign w:val="center"/>
          </w:tcPr>
          <w:p>
            <w:pPr>
              <w:pStyle w:val="124"/>
              <w:ind w:left="0"/>
              <w:rPr>
                <w:vanish w:val="0"/>
              </w:rPr>
            </w:pPr>
          </w:p>
        </w:tc>
        <w:tc>
          <w:tcPr>
            <w:tcBorders>
              <w:top w:val="nil"/>
              <w:left w:val="nil"/>
              <w:bottom w:val="nil"/>
              <w:right w:val="nil"/>
              <w:tl2br w:val="nil"/>
              <w:tr2bl w:val="nil"/>
            </w:tcBorders>
            <w:vAlign w:val="center"/>
          </w:tcPr>
          <w:p>
            <w:pPr>
              <w:pStyle w:val="124"/>
              <w:ind w:left="0"/>
              <w:rPr>
                <w:vanish w:val="0"/>
              </w:rPr>
            </w:pPr>
          </w:p>
        </w:tc>
        <w:tc>
          <w:tcPr>
            <w:tcBorders>
              <w:top w:val="nil"/>
              <w:left w:val="nil"/>
              <w:bottom w:val="nil"/>
              <w:right w:val="nil"/>
              <w:tl2br w:val="nil"/>
              <w:tr2bl w:val="nil"/>
            </w:tcBorders>
            <w:vAlign w:val="center"/>
          </w:tcPr>
          <w:p>
            <w:pPr>
              <w:pStyle w:val="124"/>
              <w:ind w:left="0"/>
              <w:rPr>
                <w:vanish w:val="0"/>
              </w:rPr>
            </w:pPr>
          </w:p>
        </w:tc>
        <w:tc>
          <w:tcPr>
            <w:tcBorders>
              <w:top w:val="nil"/>
              <w:left w:val="nil"/>
              <w:bottom w:val="nil"/>
              <w:right w:val="nil"/>
              <w:tl2br w:val="nil"/>
              <w:tr2bl w:val="nil"/>
            </w:tcBorders>
            <w:vAlign w:val="center"/>
          </w:tcPr>
          <w:p>
            <w:pPr>
              <w:pStyle w:val="124"/>
              <w:ind w:left="0"/>
              <w:rPr>
                <w:vanish w:val="0"/>
              </w:rPr>
            </w:pPr>
          </w:p>
        </w:tc>
        <w:tc>
          <w:tcPr>
            <w:tcBorders>
              <w:top w:val="nil"/>
              <w:left w:val="nil"/>
              <w:bottom w:val="nil"/>
              <w:right w:val="nil"/>
              <w:tl2br w:val="nil"/>
              <w:tr2bl w:val="nil"/>
            </w:tcBorders>
            <w:vAlign w:val="center"/>
          </w:tcPr>
          <w:p>
            <w:pPr>
              <w:pStyle w:val="124"/>
              <w:ind w:left="0"/>
              <w:rPr>
                <w:vanish w:val="0"/>
              </w:rPr>
            </w:pPr>
          </w:p>
        </w:tc>
        <w:tc>
          <w:tcPr>
            <w:tcBorders>
              <w:top w:val="nil"/>
              <w:left w:val="nil"/>
              <w:bottom w:val="nil"/>
              <w:right w:val="nil"/>
              <w:tl2br w:val="nil"/>
              <w:tr2bl w:val="nil"/>
            </w:tcBorders>
            <w:vAlign w:val="center"/>
          </w:tcPr>
          <w:p>
            <w:pPr>
              <w:pStyle w:val="124"/>
              <w:ind w:left="0"/>
              <w:rPr>
                <w:vanish w:val="0"/>
              </w:rPr>
            </w:pPr>
          </w:p>
        </w:tc>
        <w:tc>
          <w:tcPr>
            <w:tcBorders>
              <w:top w:val="nil"/>
              <w:left w:val="nil"/>
              <w:bottom w:val="nil"/>
              <w:right w:val="nil"/>
              <w:tl2br w:val="nil"/>
              <w:tr2bl w:val="nil"/>
            </w:tcBorders>
            <w:vAlign w:val="center"/>
          </w:tcPr>
          <w:p>
            <w:pPr>
              <w:pStyle w:val="124"/>
              <w:ind w:left="0"/>
              <w:rPr>
                <w:vanish w:val="0"/>
              </w:rPr>
            </w:pPr>
          </w:p>
        </w:tc>
        <w:tc>
          <w:tcPr>
            <w:tcBorders>
              <w:top w:val="nil"/>
              <w:left w:val="nil"/>
              <w:bottom w:val="nil"/>
              <w:right w:val="nil"/>
              <w:tl2br w:val="nil"/>
              <w:tr2bl w:val="nil"/>
            </w:tcBorders>
            <w:vAlign w:val="center"/>
          </w:tcPr>
          <w:p>
            <w:pPr>
              <w:pStyle w:val="124"/>
              <w:ind w:left="0"/>
              <w:rPr>
                <w:vanish w:val="0"/>
              </w:rPr>
            </w:pPr>
          </w:p>
        </w:tc>
      </w:tr>
    </w:tbl>
    <w:p>
      <w:pPr>
        <w:pStyle w:val="123"/>
        <w:pBdr>
          <w:top w:val="none" w:sz="0" w:space="0" w:color="auto"/>
          <w:left w:val="none" w:sz="0" w:space="0" w:color="auto"/>
          <w:bottom w:val="none" w:sz="0" w:space="0" w:color="auto"/>
          <w:right w:val="none" w:sz="0" w:space="0" w:color="auto"/>
        </w:pBdr>
        <w:spacing w:line="22" w:lineRule="atLeast"/>
        <w:rPr>
          <w:rFonts w:ascii="方正黑体_GBK" w:eastAsia="方正黑体_GBK" w:hint="eastAsia"/>
          <w:vanish w:val="0"/>
          <w:sz w:val="32"/>
          <w:szCs w:val="32"/>
        </w:rPr>
      </w:pPr>
      <w:r>
        <w:rPr>
          <w:rFonts w:ascii="方正黑体_GBK" w:eastAsia="方正黑体_GBK" w:hint="eastAsia"/>
          <w:vanish w:val="0"/>
          <w:sz w:val="32"/>
          <w:szCs w:val="32"/>
        </w:rPr>
        <w:t>四、政府信息公开行政复议、行政诉讼情况</w:t>
      </w:r>
    </w:p>
    <w:tbl>
      <w:tblPr>
        <w:jc w:val="center"/>
        <w:tblW w:w="9075"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CellMar>
          <w:top w:w="0" w:type="dxa"/>
          <w:left w:w="0" w:type="dxa"/>
          <w:bottom w:w="0" w:type="dxa"/>
          <w:right w:w="0" w:type="dxa"/>
        </w:tblCellMar>
      </w:tblPr>
      <w:tblGrid>
        <w:gridCol w:w="600"/>
        <w:gridCol w:w="600"/>
        <w:gridCol w:w="600"/>
        <w:gridCol w:w="600"/>
        <w:gridCol w:w="675"/>
        <w:gridCol w:w="555"/>
        <w:gridCol w:w="600"/>
        <w:gridCol w:w="600"/>
        <w:gridCol w:w="600"/>
        <w:gridCol w:w="615"/>
        <w:gridCol w:w="600"/>
        <w:gridCol w:w="600"/>
        <w:gridCol w:w="600"/>
        <w:gridCol w:w="600"/>
        <w:gridCol w:w="630"/>
      </w:tblGrid>
      <w:tr>
        <w:tc>
          <w:tcPr>
            <w:tcW w:w="3075" w:type="dxa"/>
            <w:gridSpan w:val="5"/>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行政复议</w:t>
            </w:r>
          </w:p>
        </w:tc>
        <w:tc>
          <w:tcPr>
            <w:tcW w:w="6000" w:type="dxa"/>
            <w:gridSpan w:val="10"/>
            <w:tcBorders>
              <w:top w:val="single" w:sz="6" w:space="0" w:color="auto"/>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行政诉讼</w:t>
            </w:r>
          </w:p>
        </w:tc>
      </w:tr>
      <w:tr>
        <w:tc>
          <w:tcPr>
            <w:tcW w:w="600" w:type="dxa"/>
            <w:vMerge w:val="restart"/>
            <w:tcBorders>
              <w:top w:val="nil"/>
              <w:left w:val="single" w:sz="6" w:space="0" w:color="auto"/>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结果维持</w:t>
            </w:r>
          </w:p>
        </w:tc>
        <w:tc>
          <w:tcPr>
            <w:tcW w:w="600" w:type="dxa"/>
            <w:vMerge w:val="restart"/>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结果纠正</w:t>
            </w:r>
          </w:p>
        </w:tc>
        <w:tc>
          <w:tcPr>
            <w:tcW w:w="600" w:type="dxa"/>
            <w:vMerge w:val="restart"/>
            <w:tcBorders>
              <w:top w:val="single" w:sz="6" w:space="0" w:color="auto"/>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其他结果</w:t>
            </w:r>
          </w:p>
        </w:tc>
        <w:tc>
          <w:tcPr>
            <w:tcW w:w="600" w:type="dxa"/>
            <w:vMerge w:val="restart"/>
            <w:tcBorders>
              <w:top w:val="single" w:sz="6" w:space="0" w:color="auto"/>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尚未审结</w:t>
            </w:r>
          </w:p>
        </w:tc>
        <w:tc>
          <w:tcPr>
            <w:tcW w:w="660" w:type="dxa"/>
            <w:vMerge w:val="restart"/>
            <w:tcBorders>
              <w:top w:val="single" w:sz="6" w:space="0" w:color="auto"/>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总计</w:t>
            </w:r>
          </w:p>
        </w:tc>
        <w:tc>
          <w:tcPr>
            <w:tcW w:w="2970" w:type="dxa"/>
            <w:gridSpan w:val="5"/>
            <w:tcBorders>
              <w:top w:val="single" w:sz="6" w:space="0" w:color="auto"/>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未经复议直接起诉</w:t>
            </w:r>
          </w:p>
        </w:tc>
        <w:tc>
          <w:tcPr>
            <w:tcW w:w="3030" w:type="dxa"/>
            <w:gridSpan w:val="5"/>
            <w:tcBorders>
              <w:top w:val="single" w:sz="6" w:space="0" w:color="auto"/>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复议后起诉</w:t>
            </w:r>
          </w:p>
        </w:tc>
      </w:tr>
      <w:tr>
        <w:tc>
          <w:tcPr>
            <w:vMerge/>
            <w:tcBorders>
              <w:top w:val="nil"/>
              <w:left w:val="single" w:sz="6" w:space="0" w:color="auto"/>
              <w:bottom w:val="single" w:sz="6" w:space="0" w:color="auto"/>
              <w:right w:val="single" w:sz="6" w:space="0" w:color="auto"/>
              <w:tl2br w:val="nil"/>
              <w:tr2bl w:val="nil"/>
            </w:tcBorders>
            <w:shd w:val="clear" w:color="auto" w:fill="auto"/>
            <w:vAlign w:val="center"/>
          </w:tcPr>
          <w:p/>
        </w:tc>
        <w:tc>
          <w:tcPr>
            <w:vMerge/>
            <w:tcBorders>
              <w:top w:val="nil"/>
              <w:left w:val="nil"/>
              <w:bottom w:val="single" w:sz="6" w:space="0" w:color="auto"/>
              <w:right w:val="single" w:sz="6" w:space="0" w:color="auto"/>
              <w:tl2br w:val="nil"/>
              <w:tr2bl w:val="nil"/>
            </w:tcBorders>
            <w:shd w:val="clear" w:color="auto" w:fill="auto"/>
            <w:vAlign w:val="center"/>
          </w:tcPr>
          <w:p/>
        </w:tc>
        <w:tc>
          <w:tcPr>
            <w:vMerge/>
            <w:tcBorders>
              <w:top w:val="single" w:sz="6" w:space="0" w:color="auto"/>
              <w:left w:val="nil"/>
              <w:bottom w:val="single" w:sz="6" w:space="0" w:color="auto"/>
              <w:right w:val="single" w:sz="6" w:space="0" w:color="auto"/>
              <w:tl2br w:val="nil"/>
              <w:tr2bl w:val="nil"/>
            </w:tcBorders>
            <w:shd w:val="clear" w:color="auto" w:fill="auto"/>
            <w:vAlign w:val="center"/>
          </w:tcPr>
          <w:p/>
        </w:tc>
        <w:tc>
          <w:tcPr>
            <w:vMerge/>
            <w:tcBorders>
              <w:top w:val="single" w:sz="6" w:space="0" w:color="auto"/>
              <w:left w:val="nil"/>
              <w:bottom w:val="single" w:sz="6" w:space="0" w:color="auto"/>
              <w:right w:val="single" w:sz="6" w:space="0" w:color="auto"/>
              <w:tl2br w:val="nil"/>
              <w:tr2bl w:val="nil"/>
            </w:tcBorders>
            <w:shd w:val="clear" w:color="auto" w:fill="auto"/>
            <w:vAlign w:val="center"/>
          </w:tcPr>
          <w:p/>
        </w:tc>
        <w:tc>
          <w:tcPr>
            <w:vMerge/>
            <w:tcBorders>
              <w:top w:val="single" w:sz="6" w:space="0" w:color="auto"/>
              <w:left w:val="nil"/>
              <w:bottom w:val="single" w:sz="6" w:space="0" w:color="auto"/>
              <w:right w:val="single" w:sz="6" w:space="0" w:color="auto"/>
              <w:tl2br w:val="nil"/>
              <w:tr2bl w:val="nil"/>
            </w:tcBorders>
            <w:shd w:val="clear" w:color="auto" w:fill="auto"/>
            <w:vAlign w:val="center"/>
          </w:tcPr>
          <w:p/>
        </w:tc>
        <w:tc>
          <w:tcPr>
            <w:tcW w:w="55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结果维持</w:t>
            </w:r>
          </w:p>
        </w:tc>
        <w:tc>
          <w:tcPr>
            <w:tcW w:w="60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结果纠正</w:t>
            </w:r>
          </w:p>
        </w:tc>
        <w:tc>
          <w:tcPr>
            <w:tcW w:w="600" w:type="dxa"/>
            <w:tcBorders>
              <w:top w:val="single" w:sz="6" w:space="0" w:color="auto"/>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其他结果</w:t>
            </w:r>
          </w:p>
        </w:tc>
        <w:tc>
          <w:tcPr>
            <w:tcW w:w="600" w:type="dxa"/>
            <w:tcBorders>
              <w:top w:val="single" w:sz="6" w:space="0" w:color="auto"/>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尚未审结</w:t>
            </w:r>
          </w:p>
        </w:tc>
        <w:tc>
          <w:tcPr>
            <w:tcW w:w="600" w:type="dxa"/>
            <w:tcBorders>
              <w:top w:val="single" w:sz="6" w:space="0" w:color="auto"/>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总计</w:t>
            </w:r>
          </w:p>
        </w:tc>
        <w:tc>
          <w:tcPr>
            <w:tcW w:w="600" w:type="dxa"/>
            <w:tcBorders>
              <w:top w:val="single" w:sz="6" w:space="0" w:color="auto"/>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结果维持</w:t>
            </w:r>
          </w:p>
        </w:tc>
        <w:tc>
          <w:tcPr>
            <w:tcW w:w="600" w:type="dxa"/>
            <w:tcBorders>
              <w:top w:val="single" w:sz="6" w:space="0" w:color="auto"/>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结果纠正</w:t>
            </w:r>
          </w:p>
        </w:tc>
        <w:tc>
          <w:tcPr>
            <w:tcW w:w="600" w:type="dxa"/>
            <w:tcBorders>
              <w:top w:val="single" w:sz="6" w:space="0" w:color="auto"/>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其他结果</w:t>
            </w:r>
          </w:p>
        </w:tc>
        <w:tc>
          <w:tcPr>
            <w:tcW w:w="600" w:type="dxa"/>
            <w:tcBorders>
              <w:top w:val="single" w:sz="6" w:space="0" w:color="auto"/>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尚未审结</w:t>
            </w:r>
          </w:p>
        </w:tc>
        <w:tc>
          <w:tcPr>
            <w:tcW w:w="600" w:type="dxa"/>
            <w:tcBorders>
              <w:top w:val="single" w:sz="6" w:space="0" w:color="auto"/>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总计</w:t>
            </w:r>
          </w:p>
        </w:tc>
      </w:tr>
      <w:tr>
        <w:tc>
          <w:tcPr>
            <w:tcW w:w="600" w:type="dxa"/>
            <w:tcBorders>
              <w:top w:val="nil"/>
              <w:left w:val="single" w:sz="6" w:space="0" w:color="auto"/>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0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0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0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6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555"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0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0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0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0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0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0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0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0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c>
          <w:tcPr>
            <w:tcW w:w="600" w:type="dxa"/>
            <w:tcBorders>
              <w:top w:val="nil"/>
              <w:left w:val="nil"/>
              <w:bottom w:val="single" w:sz="6" w:space="0" w:color="auto"/>
              <w:right w:val="single" w:sz="6" w:space="0" w:color="auto"/>
              <w:tl2br w:val="nil"/>
              <w:tr2bl w:val="nil"/>
            </w:tcBorders>
            <w:shd w:val="clear" w:color="auto" w:fill="auto"/>
            <w:vAlign w:val="center"/>
          </w:tcPr>
          <w:p>
            <w:pPr>
              <w:pStyle w:val="123"/>
              <w:pBdr>
                <w:top w:val="none" w:sz="0" w:space="0" w:color="auto"/>
                <w:left w:val="none" w:sz="0" w:space="0" w:color="auto"/>
                <w:bottom w:val="none" w:sz="0" w:space="0" w:color="auto"/>
                <w:right w:val="none" w:sz="0" w:space="0" w:color="auto"/>
              </w:pBdr>
              <w:spacing w:line="22" w:lineRule="atLeast"/>
              <w:ind w:left="0"/>
              <w:rPr>
                <w:vanish w:val="0"/>
              </w:rPr>
            </w:pPr>
            <w:r>
              <w:rPr>
                <w:vanish w:val="0"/>
              </w:rPr>
              <w:t>0</w:t>
            </w:r>
          </w:p>
        </w:tc>
      </w:tr>
      <w:tr>
        <w:tc>
          <w:tcPr>
            <w:tcBorders>
              <w:top w:val="nil"/>
              <w:left w:val="nil"/>
              <w:bottom w:val="nil"/>
              <w:right w:val="nil"/>
              <w:tl2br w:val="nil"/>
              <w:tr2bl w:val="nil"/>
            </w:tcBorders>
            <w:vAlign w:val="center"/>
          </w:tcPr>
          <w:p>
            <w:pPr>
              <w:pStyle w:val="124"/>
              <w:ind w:left="0"/>
              <w:rPr>
                <w:vanish w:val="0"/>
              </w:rPr>
            </w:pPr>
          </w:p>
        </w:tc>
        <w:tc>
          <w:tcPr>
            <w:tcBorders>
              <w:top w:val="nil"/>
              <w:left w:val="nil"/>
              <w:bottom w:val="nil"/>
              <w:right w:val="nil"/>
              <w:tl2br w:val="nil"/>
              <w:tr2bl w:val="nil"/>
            </w:tcBorders>
            <w:vAlign w:val="center"/>
          </w:tcPr>
          <w:p>
            <w:pPr>
              <w:pStyle w:val="124"/>
              <w:ind w:left="0"/>
              <w:rPr>
                <w:vanish w:val="0"/>
              </w:rPr>
            </w:pPr>
          </w:p>
        </w:tc>
        <w:tc>
          <w:tcPr>
            <w:tcBorders>
              <w:top w:val="nil"/>
              <w:left w:val="nil"/>
              <w:bottom w:val="nil"/>
              <w:right w:val="nil"/>
              <w:tl2br w:val="nil"/>
              <w:tr2bl w:val="nil"/>
            </w:tcBorders>
            <w:vAlign w:val="center"/>
          </w:tcPr>
          <w:p>
            <w:pPr>
              <w:pStyle w:val="124"/>
              <w:ind w:left="0"/>
              <w:rPr>
                <w:vanish w:val="0"/>
              </w:rPr>
            </w:pPr>
          </w:p>
        </w:tc>
        <w:tc>
          <w:tcPr>
            <w:tcBorders>
              <w:top w:val="nil"/>
              <w:left w:val="nil"/>
              <w:bottom w:val="nil"/>
              <w:right w:val="nil"/>
              <w:tl2br w:val="nil"/>
              <w:tr2bl w:val="nil"/>
            </w:tcBorders>
            <w:vAlign w:val="center"/>
          </w:tcPr>
          <w:p>
            <w:pPr>
              <w:pStyle w:val="124"/>
              <w:ind w:left="0"/>
              <w:rPr>
                <w:vanish w:val="0"/>
              </w:rPr>
            </w:pPr>
          </w:p>
        </w:tc>
        <w:tc>
          <w:tcPr>
            <w:tcBorders>
              <w:top w:val="nil"/>
              <w:left w:val="nil"/>
              <w:bottom w:val="nil"/>
              <w:right w:val="nil"/>
              <w:tl2br w:val="nil"/>
              <w:tr2bl w:val="nil"/>
            </w:tcBorders>
            <w:vAlign w:val="center"/>
          </w:tcPr>
          <w:p>
            <w:pPr>
              <w:pStyle w:val="124"/>
              <w:ind w:left="0"/>
              <w:rPr>
                <w:vanish w:val="0"/>
              </w:rPr>
            </w:pPr>
          </w:p>
        </w:tc>
        <w:tc>
          <w:tcPr>
            <w:tcBorders>
              <w:top w:val="nil"/>
              <w:left w:val="nil"/>
              <w:bottom w:val="nil"/>
              <w:right w:val="nil"/>
              <w:tl2br w:val="nil"/>
              <w:tr2bl w:val="nil"/>
            </w:tcBorders>
            <w:vAlign w:val="center"/>
          </w:tcPr>
          <w:p>
            <w:pPr>
              <w:pStyle w:val="124"/>
              <w:ind w:left="0"/>
              <w:rPr>
                <w:vanish w:val="0"/>
              </w:rPr>
            </w:pPr>
          </w:p>
        </w:tc>
        <w:tc>
          <w:tcPr>
            <w:tcBorders>
              <w:top w:val="nil"/>
              <w:left w:val="nil"/>
              <w:bottom w:val="nil"/>
              <w:right w:val="nil"/>
              <w:tl2br w:val="nil"/>
              <w:tr2bl w:val="nil"/>
            </w:tcBorders>
            <w:vAlign w:val="center"/>
          </w:tcPr>
          <w:p>
            <w:pPr>
              <w:pStyle w:val="124"/>
              <w:ind w:left="0"/>
              <w:rPr>
                <w:vanish w:val="0"/>
              </w:rPr>
            </w:pPr>
          </w:p>
        </w:tc>
        <w:tc>
          <w:tcPr>
            <w:tcBorders>
              <w:top w:val="nil"/>
              <w:left w:val="nil"/>
              <w:bottom w:val="nil"/>
              <w:right w:val="nil"/>
              <w:tl2br w:val="nil"/>
              <w:tr2bl w:val="nil"/>
            </w:tcBorders>
            <w:vAlign w:val="center"/>
          </w:tcPr>
          <w:p>
            <w:pPr>
              <w:pStyle w:val="124"/>
              <w:ind w:left="0"/>
              <w:rPr>
                <w:vanish w:val="0"/>
              </w:rPr>
            </w:pPr>
          </w:p>
        </w:tc>
        <w:tc>
          <w:tcPr>
            <w:tcBorders>
              <w:top w:val="nil"/>
              <w:left w:val="nil"/>
              <w:bottom w:val="nil"/>
              <w:right w:val="nil"/>
              <w:tl2br w:val="nil"/>
              <w:tr2bl w:val="nil"/>
            </w:tcBorders>
            <w:vAlign w:val="center"/>
          </w:tcPr>
          <w:p>
            <w:pPr>
              <w:pStyle w:val="124"/>
              <w:ind w:left="0"/>
              <w:rPr>
                <w:vanish w:val="0"/>
              </w:rPr>
            </w:pPr>
          </w:p>
        </w:tc>
        <w:tc>
          <w:tcPr>
            <w:tcBorders>
              <w:top w:val="nil"/>
              <w:left w:val="nil"/>
              <w:bottom w:val="nil"/>
              <w:right w:val="nil"/>
              <w:tl2br w:val="nil"/>
              <w:tr2bl w:val="nil"/>
            </w:tcBorders>
            <w:vAlign w:val="center"/>
          </w:tcPr>
          <w:p>
            <w:pPr>
              <w:pStyle w:val="124"/>
              <w:ind w:left="0"/>
              <w:rPr>
                <w:vanish w:val="0"/>
              </w:rPr>
            </w:pPr>
          </w:p>
        </w:tc>
        <w:tc>
          <w:tcPr>
            <w:tcBorders>
              <w:top w:val="nil"/>
              <w:left w:val="nil"/>
              <w:bottom w:val="nil"/>
              <w:right w:val="nil"/>
              <w:tl2br w:val="nil"/>
              <w:tr2bl w:val="nil"/>
            </w:tcBorders>
            <w:vAlign w:val="center"/>
          </w:tcPr>
          <w:p>
            <w:pPr>
              <w:pStyle w:val="124"/>
              <w:ind w:left="0"/>
              <w:rPr>
                <w:vanish w:val="0"/>
              </w:rPr>
            </w:pPr>
          </w:p>
        </w:tc>
        <w:tc>
          <w:tcPr>
            <w:tcBorders>
              <w:top w:val="nil"/>
              <w:left w:val="nil"/>
              <w:bottom w:val="nil"/>
              <w:right w:val="nil"/>
              <w:tl2br w:val="nil"/>
              <w:tr2bl w:val="nil"/>
            </w:tcBorders>
            <w:vAlign w:val="center"/>
          </w:tcPr>
          <w:p>
            <w:pPr>
              <w:pStyle w:val="124"/>
              <w:ind w:left="0"/>
              <w:rPr>
                <w:vanish w:val="0"/>
              </w:rPr>
            </w:pPr>
          </w:p>
        </w:tc>
        <w:tc>
          <w:tcPr>
            <w:tcBorders>
              <w:top w:val="nil"/>
              <w:left w:val="nil"/>
              <w:bottom w:val="nil"/>
              <w:right w:val="nil"/>
              <w:tl2br w:val="nil"/>
              <w:tr2bl w:val="nil"/>
            </w:tcBorders>
            <w:vAlign w:val="center"/>
          </w:tcPr>
          <w:p>
            <w:pPr>
              <w:pStyle w:val="124"/>
              <w:ind w:left="0"/>
              <w:rPr>
                <w:vanish w:val="0"/>
              </w:rPr>
            </w:pPr>
          </w:p>
        </w:tc>
        <w:tc>
          <w:tcPr>
            <w:tcBorders>
              <w:top w:val="nil"/>
              <w:left w:val="nil"/>
              <w:bottom w:val="nil"/>
              <w:right w:val="nil"/>
              <w:tl2br w:val="nil"/>
              <w:tr2bl w:val="nil"/>
            </w:tcBorders>
            <w:vAlign w:val="center"/>
          </w:tcPr>
          <w:p>
            <w:pPr>
              <w:pStyle w:val="124"/>
              <w:ind w:left="0"/>
              <w:rPr>
                <w:vanish w:val="0"/>
              </w:rPr>
            </w:pPr>
          </w:p>
        </w:tc>
        <w:tc>
          <w:tcPr>
            <w:tcBorders>
              <w:top w:val="nil"/>
              <w:left w:val="nil"/>
              <w:bottom w:val="nil"/>
              <w:right w:val="nil"/>
              <w:tl2br w:val="nil"/>
              <w:tr2bl w:val="nil"/>
            </w:tcBorders>
            <w:vAlign w:val="center"/>
          </w:tcPr>
          <w:p>
            <w:pPr>
              <w:pStyle w:val="124"/>
              <w:ind w:left="0"/>
              <w:rPr>
                <w:vanish w:val="0"/>
              </w:rPr>
            </w:pPr>
          </w:p>
        </w:tc>
      </w:tr>
    </w:tbl>
    <w:p>
      <w:pPr>
        <w:pStyle w:val="123"/>
        <w:pBdr>
          <w:top w:val="none" w:sz="0" w:space="0" w:color="auto"/>
          <w:left w:val="none" w:sz="0" w:space="0" w:color="auto"/>
          <w:bottom w:val="none" w:sz="0" w:space="0" w:color="auto"/>
          <w:right w:val="none" w:sz="0" w:space="0" w:color="auto"/>
        </w:pBdr>
        <w:spacing w:line="22" w:lineRule="atLeast"/>
        <w:rPr>
          <w:vanish w:val="0"/>
        </w:rPr>
      </w:pPr>
      <w:r>
        <w:rPr>
          <w:vanish w:val="0"/>
        </w:rPr>
        <w:t>　　</w:t>
      </w:r>
    </w:p>
    <w:p>
      <w:pPr>
        <w:pStyle w:val="123"/>
        <w:pBdr>
          <w:top w:val="none" w:sz="0" w:space="0" w:color="auto"/>
          <w:left w:val="none" w:sz="0" w:space="0" w:color="auto"/>
          <w:bottom w:val="none" w:sz="0" w:space="0" w:color="auto"/>
          <w:right w:val="none" w:sz="0" w:space="0" w:color="auto"/>
        </w:pBdr>
        <w:spacing w:line="22" w:lineRule="atLeast"/>
        <w:rPr>
          <w:vanish w:val="0"/>
        </w:rPr>
      </w:pPr>
    </w:p>
    <w:p>
      <w:pPr>
        <w:ind w:left="0"/>
        <w:jc w:val="left"/>
        <w:rPr>
          <w:rFonts w:ascii="方正黑体_GBK" w:eastAsia="方正黑体_GBK" w:hint="eastAsia"/>
        </w:rPr>
      </w:pPr>
      <w:r>
        <w:rPr>
          <w:rFonts w:ascii="方正黑体_GBK" w:eastAsia="方正黑体_GBK" w:hint="eastAsia"/>
        </w:rPr>
        <w:t>五、存在的主要问题及改进情况</w:t>
      </w:r>
    </w:p>
    <w:p>
      <w:pPr>
        <w:ind w:firstLine="629"/>
        <w:jc w:val="left"/>
      </w:pPr>
      <w:r>
        <w:t>（一）2020年年报中所提问题整改情况。2020年，昆明海关机关存在从业人员人力不足和从业人员专业性与工作能力还需进一步加强等问题。整改情况：通过邀请专家授课、自学等方式持续提升政府信息公开工作人员的业务能力和服务水平。</w:t>
      </w:r>
    </w:p>
    <w:p>
      <w:pPr>
        <w:ind w:firstLine="629"/>
        <w:jc w:val="left"/>
      </w:pPr>
      <w:r>
        <w:t>（二）目前存在问题。当前本机关仍然存在政务公开专业工作人员人力不足的问题。</w:t>
      </w:r>
    </w:p>
    <w:p>
      <w:pPr>
        <w:ind w:left="0"/>
        <w:jc w:val="left"/>
        <w:rPr>
          <w:rFonts w:ascii="方正黑体_GBK" w:eastAsia="方正黑体_GBK" w:hint="eastAsia"/>
        </w:rPr>
      </w:pPr>
      <w:r>
        <w:rPr>
          <w:rFonts w:ascii="方正黑体_GBK" w:eastAsia="方正黑体_GBK" w:hint="eastAsia"/>
        </w:rPr>
        <w:t>六、其他需要报告的事项</w:t>
      </w:r>
    </w:p>
    <w:p>
      <w:pPr>
        <w:ind w:firstLine="629"/>
        <w:jc w:val="left"/>
      </w:pPr>
      <w:r>
        <w:t>无。</w:t>
      </w:r>
    </w:p>
    <w:sectPr>
      <w:footerReference w:type="default" r:id="rId2"/>
      <w:pgSz w:w="11907" w:h="16840"/>
      <w:pgMar w:top="2098" w:right="1474" w:bottom="1985" w:left="1588" w:header="1814" w:footer="1474" w:gutter="0"/>
      <w:pgNumType w:start="0"/>
      <w:titlePg/>
      <w:docGrid w:type="linesAndChars" w:linePitch="580" w:charSpace="-841"/>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00" w:usb3="00000000" w:csb0="00040000" w:csb1="00000000"/>
  </w:font>
  <w:font w:name="方正黑体_GBK">
    <w:panose1 w:val="03000509000000000000"/>
    <w:charset w:val="86"/>
    <w:family w:val="script"/>
    <w:pitch w:val="variable"/>
    <w:sig w:usb0="00000001" w:usb1="080E0000" w:usb2="00000000" w:usb3="00000000" w:csb0="00040000" w:csb1="00000000"/>
  </w:font>
  <w:font w:name="方正楷体_GBK">
    <w:panose1 w:val="03000509000000000000"/>
    <w:charset w:val="86"/>
    <w:family w:val="script"/>
    <w:pitch w:val="variable"/>
    <w:sig w:usb0="00000001" w:usb1="080E0000" w:usb2="00000000" w:usb3="00000000" w:csb0="00040000" w:csb1="00000000"/>
  </w:font>
  <w:font w:name="Times New Roman">
    <w:panose1 w:val="02020603050405020304"/>
    <w:charset w:val="00"/>
    <w:family w:val="auto"/>
    <w:pitch w:val="variable"/>
    <w:sig w:usb0="00000A87" w:usb1="00000000" w:usb2="00000000" w:usb3="00000000" w:csb0="400001BF" w:csb1="DFF70000"/>
  </w:font>
  <w:font w:name="宋体">
    <w:panose1 w:val="02010600030101010101"/>
    <w:charset w:val="86"/>
    <w:family w:val="auto"/>
    <w:pitch w:val="variable"/>
    <w:sig w:usb0="00000003" w:usb1="080E0000" w:usb2="00000000" w:usb3="00000000" w:csb0="00040001" w:csb1="00000000"/>
  </w:font>
  <w:font w:name="方正仿宋_GBK">
    <w:altName w:val="Arial Unicode MS"/>
    <w:panose1 w:val="03000509000000000000"/>
    <w:charset w:val="86"/>
    <w:family w:val="script"/>
    <w:pitch w:val="variable"/>
    <w:sig w:usb0="00000001" w:usb1="080E0000" w:usb2="00000000" w:usb3="00000000" w:csb0="00040000" w:csb1="00000000"/>
  </w:font>
  <w:font w:name="Arial">
    <w:panose1 w:val="020B0604020202020204"/>
    <w:charset w:val="00"/>
    <w:family w:val="auto"/>
    <w:pitch w:val="variable"/>
    <w:sig w:usb0="00007A87" w:usb1="80000000" w:usb2="00000008" w:usb3="00000000" w:csb0="400001FF" w:csb1="FFFF0000"/>
  </w:font>
  <w:font w:name="黑体">
    <w:panose1 w:val="02010600030101010101"/>
    <w:charset w:val="86"/>
    <w:family w:val="auto"/>
    <w:pitch w:val="variable"/>
    <w:sig w:usb0="00000001" w:usb1="080E0000" w:usb2="00000000" w:usb3="00000000" w:csb0="0004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33"/>
      <w:tabs>
        <w:tab w:val="center" w:pos="4153"/>
        <w:tab w:val="right" w:pos="8307"/>
      </w:tabs>
      <w:jc w:val="center"/>
      <w:rPr>
        <w:sz w:val="32"/>
        <w:szCs w:val="32"/>
      </w:rPr>
    </w:pPr>
    <w:r>
      <w:rPr>
        <w:sz w:val="32"/>
        <w:szCs w:val="32"/>
      </w:rPr>
      <w:fldChar w:fldCharType="begin"/>
    </w:r>
    <w:r>
      <w:rPr>
        <w:sz w:val="32"/>
        <w:szCs w:val="32"/>
      </w:rPr>
      <w:instrText>Page</w:instrText>
    </w:r>
    <w:r>
      <w:rPr>
        <w:sz w:val="32"/>
        <w:szCs w:val="32"/>
      </w:rPr>
      <w:fldChar w:fldCharType="separate"/>
    </w:r>
    <w:r>
      <w:rPr>
        <w:sz w:val="32"/>
        <w:szCs w:val="32"/>
      </w:rPr>
      <w:t>3</w:t>
    </w:r>
    <w:r>
      <w:rPr>
        <w:sz w:val="32"/>
        <w:szCs w:val="32"/>
      </w:rPr>
      <w:fldChar w:fldCharType="end"/>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isplayBackgroundShape/>
  <w:bordersDoNotSurroundHeader/>
  <w:bordersDoNotSurroundFooter/>
  <w:defaultTabStop w:val="420"/>
  <w:drawingGridHorizontalSpacing w:val="157"/>
  <w:drawingGridVerticalSpacing w:val="289"/>
  <w:displayHorizontalDrawingGridEvery w:val="2"/>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pacing w:line="240" w:lineRule="auto"/>
      <w:jc w:val="both"/>
    </w:pPr>
    <w:rPr>
      <w:rFonts w:ascii="Times New Roman" w:eastAsia="方正仿宋_GBK" w:hAnsi="Times New Roman"/>
      <w:kern w:val="2"/>
      <w:sz w:val="32"/>
      <w:lang w:val="en-US" w:eastAsia="zh-CN"/>
    </w:rPr>
  </w:style>
  <w:style w:type="paragraph" w:styleId="1">
    <w:name w:val="heading 1"/>
    <w:basedOn w:val="0"/>
    <w:next w:val="0"/>
    <w:pPr>
      <w:keepNext/>
      <w:keepLines/>
      <w:spacing w:before="340" w:after="330" w:line="578" w:lineRule="auto"/>
      <w:outlineLvl w:val="0"/>
    </w:pPr>
    <w:rPr>
      <w:b/>
      <w:kern w:val="44"/>
      <w:sz w:val="44"/>
    </w:rPr>
  </w:style>
  <w:style w:type="paragraph" w:styleId="2">
    <w:name w:val="heading 2"/>
    <w:basedOn w:val="0"/>
    <w:next w:val="0"/>
    <w:pPr>
      <w:keepNext/>
      <w:keepLines/>
      <w:spacing w:before="260" w:after="260" w:line="415" w:lineRule="auto"/>
      <w:outlineLvl w:val="1"/>
    </w:pPr>
    <w:rPr>
      <w:rFonts w:ascii="Arial" w:eastAsia="黑体" w:hAnsi="Arial"/>
      <w:b/>
      <w:sz w:val="32"/>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 w:type="paragraph" w:styleId="32">
    <w:name w:val="header"/>
    <w:basedOn w:val="0"/>
    <w:pPr>
      <w:pBdr>
        <w:bottom w:val="single" w:sz="6" w:space="1" w:color="auto"/>
      </w:pBdr>
      <w:tabs>
        <w:tab w:val="center" w:pos="4153"/>
        <w:tab w:val="right" w:pos="8307"/>
      </w:tabs>
      <w:snapToGrid w:val="0"/>
      <w:jc w:val="center"/>
    </w:pPr>
    <w:rPr>
      <w:sz w:val="18"/>
    </w:rPr>
  </w:style>
  <w:style w:type="paragraph" w:styleId="33">
    <w:name w:val="footer"/>
    <w:basedOn w:val="0"/>
    <w:pPr>
      <w:tabs>
        <w:tab w:val="center" w:pos="4153"/>
        <w:tab w:val="right" w:pos="8307"/>
      </w:tabs>
      <w:snapToGrid w:val="0"/>
      <w:jc w:val="left"/>
    </w:pPr>
    <w:rPr>
      <w:sz w:val="18"/>
    </w:rPr>
  </w:style>
  <w:style w:type="paragraph" w:styleId="92">
    <w:name w:val="Normal (Web)"/>
    <w:basedOn w:val="0"/>
    <w:rPr>
      <w:sz w:val="24"/>
    </w:rPr>
  </w:style>
  <w:style w:type="paragraph" w:customStyle="1" w:styleId="123">
    <w:name w:val="样式 小四"/>
    <w:pPr>
      <w:widowControl w:val="0"/>
      <w:spacing w:before="100" w:beforeAutospacing="1" w:after="100" w:afterAutospacing="1" w:line="240" w:lineRule="auto"/>
      <w:jc w:val="left"/>
    </w:pPr>
    <w:rPr>
      <w:rFonts w:ascii="宋体" w:eastAsia="宋体"/>
      <w:kern w:val="2"/>
      <w:sz w:val="24"/>
      <w:szCs w:val="21"/>
      <w:lang w:val="en-US" w:eastAsia="zh-CN"/>
    </w:rPr>
  </w:style>
  <w:style w:type="paragraph" w:customStyle="1" w:styleId="124">
    <w:name w:val="样式 1 小四"/>
    <w:pPr>
      <w:widowControl w:val="0"/>
      <w:spacing w:line="240" w:lineRule="auto"/>
      <w:jc w:val="left"/>
    </w:pPr>
    <w:rPr>
      <w:rFonts w:ascii="宋体" w:eastAsia="宋体"/>
      <w:kern w:val="2"/>
      <w:sz w:val="24"/>
      <w:szCs w:val="21"/>
      <w:lang w:val="en-US" w:eastAsia="zh-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4</TotalTime>
  <Application>Yozo_Office</Application>
  <Pages>7</Pages>
  <Words>2330</Words>
  <Characters>2513</Characters>
  <Lines>430</Lines>
  <Paragraphs>308</Paragraphs>
  <CharactersWithSpaces>2553</CharactersWithSpaces>
  <Company>P R C</Company>
</Properties>
</file>

<file path=docProps/core.xml><?xml version="1.0" encoding="utf-8"?>
<cp:coreProperties xmlns:cp="http://schemas.openxmlformats.org/package/2006/metadata/core-properties" xmlns:dc="http://purl.org/dc/elements/1.1/" xmlns:dcterms="http://purl.org/dc/terms/" xmlns:xsi="http://www.w3.org/2001/XMLSchema-instance">
  <dc:creator>资凡</dc:creator>
  <cp:lastModifiedBy>资凡</cp:lastModifiedBy>
  <cp:revision>1</cp:revision>
  <dcterms:created xsi:type="dcterms:W3CDTF">2023-04-04T09:36:11Z</dcterms:created>
  <dcterms:modified xsi:type="dcterms:W3CDTF">2023-04-04T09:40:43Z</dcterms:modified>
</cp:coreProperties>
</file>