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jc w:val="center"/>
        <w:rPr>
          <w:rFonts w:ascii="仿宋" w:eastAsia="仿宋" w:cs="仿宋" w:hint="eastAsia"/>
          <w:color w:val="auto"/>
          <w:highlight w:val="auto"/>
        </w:rPr>
      </w:pPr>
      <w:bookmarkStart w:id="0" w:name="_GoBack"/>
      <w:bookmarkEnd w:id="0"/>
      <w:r>
        <w:rPr>
          <w:rFonts w:ascii="仿宋" w:eastAsia="仿宋" w:cs="仿宋" w:hint="eastAsia"/>
          <w:color w:val="auto"/>
          <w:lang w:val="en-US" w:eastAsia="zh-CN"/>
          <w:highlight w:val="auto"/>
        </w:rPr>
        <w:t>电梯的</w:t>
      </w:r>
      <w:r>
        <w:rPr>
          <w:rFonts w:ascii="仿宋" w:eastAsia="仿宋" w:cs="仿宋" w:hint="eastAsia"/>
          <w:color w:val="auto"/>
          <w:highlight w:val="auto"/>
        </w:rPr>
        <w:t>采购需求</w:t>
      </w:r>
    </w:p>
    <w:p>
      <w:pPr>
        <w:adjustRightInd w:val="0"/>
        <w:spacing w:afterLines="50" w:after="120" w:line="500" w:lineRule="atLeast"/>
        <w:rPr>
          <w:rFonts w:ascii="宋体" w:cs="仿宋" w:hint="eastAsia"/>
          <w:b/>
          <w:color w:val="auto"/>
          <w:sz w:val="24"/>
          <w:szCs w:val="24"/>
          <w:highlight w:val="auto"/>
        </w:rPr>
      </w:pPr>
      <w:r>
        <w:rPr>
          <w:rFonts w:ascii="宋体" w:cs="仿宋" w:hint="eastAsia"/>
          <w:b/>
          <w:color w:val="auto"/>
          <w:sz w:val="24"/>
          <w:szCs w:val="24"/>
          <w:highlight w:val="auto"/>
        </w:rPr>
        <w:t>（一）技术需求</w:t>
      </w:r>
    </w:p>
    <w:p>
      <w:pPr>
        <w:adjustRightInd w:val="0"/>
        <w:snapToGrid w:val="0"/>
        <w:spacing w:line="360" w:lineRule="auto"/>
        <w:ind w:firstLineChars="200" w:firstLine="480"/>
        <w:rPr>
          <w:b/>
          <w:bCs/>
          <w:color w:val="auto"/>
          <w:sz w:val="24"/>
          <w:szCs w:val="24"/>
          <w:lang w:val="zh-TW" w:eastAsia="zh-TW"/>
          <w:highlight w:val="auto"/>
        </w:rPr>
      </w:pPr>
      <w:r>
        <w:rPr>
          <w:rFonts w:hint="eastAsia"/>
          <w:b/>
          <w:bCs/>
          <w:color w:val="auto"/>
          <w:sz w:val="24"/>
          <w:szCs w:val="24"/>
          <w:highlight w:val="auto"/>
        </w:rPr>
        <w:t>1、</w:t>
      </w:r>
      <w:r>
        <w:rPr>
          <w:rFonts w:hint="eastAsia"/>
          <w:b/>
          <w:bCs/>
          <w:color w:val="auto"/>
          <w:sz w:val="24"/>
          <w:szCs w:val="24"/>
          <w:lang w:val="zh-TW" w:eastAsia="zh-TW"/>
          <w:highlight w:val="auto"/>
        </w:rPr>
        <w:t>总体要求</w:t>
      </w:r>
    </w:p>
    <w:p>
      <w:pPr>
        <w:spacing w:line="360" w:lineRule="auto"/>
        <w:ind w:firstLineChars="200" w:firstLine="472"/>
        <w:rPr>
          <w:rFonts w:eastAsia="宋体"/>
          <w:bCs/>
          <w:color w:val="auto"/>
          <w:sz w:val="24"/>
          <w:szCs w:val="24"/>
          <w:highlight w:val="auto"/>
        </w:rPr>
      </w:pPr>
      <w:r>
        <w:rPr>
          <w:rFonts w:hint="eastAsia"/>
          <w:bCs/>
          <w:color w:val="auto"/>
          <w:spacing w:val="-2"/>
          <w:sz w:val="24"/>
          <w:szCs w:val="24"/>
          <w:highlight w:val="auto"/>
        </w:rPr>
        <w:t>（1）</w:t>
      </w:r>
      <w:r>
        <w:rPr>
          <w:rFonts w:hint="eastAsia"/>
          <w:bCs/>
          <w:color w:val="auto"/>
          <w:sz w:val="24"/>
          <w:szCs w:val="24"/>
          <w:lang w:val="zh-TW" w:eastAsia="zh-TW"/>
          <w:highlight w:val="auto"/>
        </w:rPr>
        <w:t>招标范围：</w:t>
      </w:r>
      <w:r>
        <w:rPr>
          <w:rFonts w:cs="Calibri" w:hint="eastAsia"/>
          <w:color w:val="auto"/>
          <w:sz w:val="24"/>
          <w:szCs w:val="24"/>
          <w:lang w:val="zh-TW"/>
          <w:highlight w:val="auto"/>
        </w:rPr>
        <w:t>垂直客梯</w:t>
      </w:r>
      <w:r>
        <w:rPr>
          <w:rFonts w:cs="Calibri" w:hint="eastAsia"/>
          <w:color w:val="auto"/>
          <w:sz w:val="24"/>
          <w:szCs w:val="24"/>
          <w:highlight w:val="auto"/>
        </w:rPr>
        <w:t>2</w:t>
      </w:r>
      <w:r>
        <w:rPr>
          <w:rFonts w:cs="Calibri" w:hint="eastAsia"/>
          <w:color w:val="auto"/>
          <w:sz w:val="24"/>
          <w:szCs w:val="24"/>
          <w:lang w:val="zh-TW"/>
          <w:highlight w:val="auto"/>
        </w:rPr>
        <w:t>台，</w:t>
      </w:r>
      <w:r>
        <w:rPr>
          <w:rFonts w:cs="Calibri" w:hint="eastAsia"/>
          <w:color w:val="auto"/>
          <w:sz w:val="24"/>
          <w:szCs w:val="24"/>
          <w:highlight w:val="auto"/>
        </w:rPr>
        <w:t>垂直消防电梯1台.包括旧电梯拆除、新电梯安装，及拆除和安装电梯过程中涉及的土建恢复和改造。</w:t>
      </w:r>
    </w:p>
    <w:p>
      <w:pPr>
        <w:adjustRightInd w:val="0"/>
        <w:snapToGrid w:val="0"/>
        <w:spacing w:line="360" w:lineRule="auto"/>
        <w:ind w:firstLineChars="200" w:firstLine="480"/>
        <w:rPr>
          <w:bCs/>
          <w:color w:val="auto"/>
          <w:sz w:val="24"/>
          <w:szCs w:val="24"/>
          <w:lang w:val="zh-TW" w:eastAsia="zh-TW"/>
          <w:highlight w:val="auto"/>
        </w:rPr>
      </w:pPr>
      <w:r>
        <w:rPr>
          <w:rFonts w:hint="eastAsia"/>
          <w:bCs/>
          <w:color w:val="auto"/>
          <w:sz w:val="24"/>
          <w:szCs w:val="24"/>
          <w:lang w:val="zh-TW" w:eastAsia="zh-TW"/>
          <w:highlight w:val="auto"/>
        </w:rPr>
        <w:t>注：所有电梯的配电柜必须跟机配置安装。本次招标将从资格审查、认可、设计、制造、供货、运输、安装、调试、试运行、培训、备品备件、验收、售后服务、维修技术力量等各个方面，对</w:t>
      </w:r>
      <w:r>
        <w:rPr>
          <w:rFonts w:hint="eastAsia"/>
          <w:bCs/>
          <w:color w:val="auto"/>
          <w:sz w:val="24"/>
          <w:szCs w:val="24"/>
          <w:lang w:val="zh-TW"/>
          <w:highlight w:val="auto"/>
        </w:rPr>
        <w:t>投标人</w:t>
      </w:r>
      <w:r>
        <w:rPr>
          <w:rFonts w:hint="eastAsia"/>
          <w:bCs/>
          <w:color w:val="auto"/>
          <w:sz w:val="24"/>
          <w:szCs w:val="24"/>
          <w:lang w:val="zh-TW" w:eastAsia="zh-TW"/>
          <w:highlight w:val="auto"/>
        </w:rPr>
        <w:t>进行全方位的综合考核。</w:t>
      </w:r>
    </w:p>
    <w:p>
      <w:pPr>
        <w:adjustRightInd w:val="0"/>
        <w:snapToGrid w:val="0"/>
        <w:spacing w:line="360" w:lineRule="auto"/>
        <w:ind w:firstLineChars="200" w:firstLine="480"/>
        <w:rPr>
          <w:bCs/>
          <w:color w:val="auto"/>
          <w:sz w:val="24"/>
          <w:szCs w:val="24"/>
          <w:lang w:val="zh-TW" w:eastAsia="zh-TW"/>
          <w:highlight w:val="auto"/>
        </w:rPr>
      </w:pPr>
      <w:r>
        <w:rPr>
          <w:rFonts w:hint="eastAsia"/>
          <w:bCs/>
          <w:color w:val="auto"/>
          <w:sz w:val="24"/>
          <w:szCs w:val="24"/>
          <w:highlight w:val="auto"/>
        </w:rPr>
        <w:t>（2）</w:t>
      </w:r>
      <w:r>
        <w:rPr>
          <w:rFonts w:hint="eastAsia"/>
          <w:bCs/>
          <w:color w:val="auto"/>
          <w:sz w:val="24"/>
          <w:szCs w:val="24"/>
          <w:lang w:val="zh-TW"/>
          <w:highlight w:val="auto"/>
        </w:rPr>
        <w:t>投标人所投品牌</w:t>
      </w:r>
      <w:r>
        <w:rPr>
          <w:rFonts w:hint="eastAsia"/>
          <w:bCs/>
          <w:color w:val="auto"/>
          <w:sz w:val="24"/>
          <w:szCs w:val="24"/>
          <w:lang w:val="zh-TW" w:eastAsia="zh-TW"/>
          <w:highlight w:val="auto"/>
        </w:rPr>
        <w:t>电梯应是本品牌全新的，代表当今最新技术的产品。是制造商按规定要求用一流的工艺和优质材料生产制造的，并确保产品经安装使用和正常保养后，在其使用寿命内应具有满意性能。中标人应对因产品设计、工艺或材料的缺陷而发生的任何不足或故障负责。</w:t>
      </w:r>
    </w:p>
    <w:p>
      <w:pPr>
        <w:adjustRightInd w:val="0"/>
        <w:snapToGrid w:val="0"/>
        <w:spacing w:line="360" w:lineRule="auto"/>
        <w:ind w:firstLineChars="200" w:firstLine="480"/>
        <w:rPr>
          <w:color w:val="auto"/>
          <w:sz w:val="24"/>
          <w:szCs w:val="24"/>
          <w:lang w:val="zh-TW" w:eastAsia="zh-TW"/>
          <w:highlight w:val="auto"/>
        </w:rPr>
      </w:pPr>
      <w:r>
        <w:rPr>
          <w:rFonts w:hint="eastAsia"/>
          <w:bCs/>
          <w:color w:val="auto"/>
          <w:sz w:val="24"/>
          <w:szCs w:val="24"/>
          <w:highlight w:val="auto"/>
        </w:rPr>
        <w:t>（3）</w:t>
      </w:r>
      <w:r>
        <w:rPr>
          <w:rFonts w:hint="eastAsia"/>
          <w:bCs/>
          <w:color w:val="auto"/>
          <w:sz w:val="24"/>
          <w:szCs w:val="24"/>
          <w:lang w:val="zh-TW" w:eastAsia="zh-TW"/>
          <w:highlight w:val="auto"/>
        </w:rPr>
        <w:t>中</w:t>
      </w:r>
      <w:r>
        <w:rPr>
          <w:rFonts w:hint="eastAsia"/>
          <w:color w:val="auto"/>
          <w:sz w:val="24"/>
          <w:szCs w:val="24"/>
          <w:lang w:val="zh-TW" w:eastAsia="zh-TW"/>
          <w:highlight w:val="auto"/>
        </w:rPr>
        <w:t>标人应根据资料和要求，按标准规定设计好电梯的轿厢，若轿厢宽度尺寸设计受到井道尺寸限制时，应给予说明。</w:t>
      </w:r>
      <w:bookmarkStart w:id="1" w:name="_Toc74110635"/>
      <w:r>
        <w:rPr>
          <w:rFonts w:hint="eastAsia"/>
          <w:color w:val="auto"/>
          <w:sz w:val="24"/>
          <w:szCs w:val="24"/>
          <w:lang w:val="zh-TW" w:eastAsia="zh-TW"/>
          <w:highlight w:val="auto"/>
        </w:rPr>
        <w:t>电梯内必须设有</w:t>
      </w:r>
      <w:r>
        <w:rPr>
          <w:rFonts w:hint="eastAsia"/>
          <w:color w:val="auto"/>
          <w:sz w:val="24"/>
          <w:szCs w:val="24"/>
          <w:highlight w:val="auto"/>
        </w:rPr>
        <w:t>单冷</w:t>
      </w:r>
      <w:r>
        <w:rPr>
          <w:rFonts w:hint="eastAsia"/>
          <w:color w:val="auto"/>
          <w:sz w:val="24"/>
          <w:szCs w:val="24"/>
          <w:lang w:val="zh-TW" w:eastAsia="zh-TW"/>
          <w:highlight w:val="auto"/>
        </w:rPr>
        <w:t>空调、监控系统和停电保护系统等。</w:t>
      </w:r>
      <w:bookmarkEnd w:id="1"/>
    </w:p>
    <w:p>
      <w:pPr>
        <w:pStyle w:val="17"/>
        <w:adjustRightInd w:val="0"/>
        <w:snapToGrid w:val="0"/>
        <w:spacing w:line="360" w:lineRule="auto"/>
        <w:ind w:firstLineChars="200" w:firstLine="412"/>
        <w:rPr>
          <w:rFonts w:cs="宋体" w:hint="eastAsia"/>
          <w:b/>
          <w:color w:val="auto"/>
          <w:spacing w:val="-2"/>
          <w:szCs w:val="24"/>
          <w:highlight w:val="auto"/>
        </w:rPr>
      </w:pPr>
      <w:r>
        <w:rPr>
          <w:rFonts w:cs="宋体" w:hint="eastAsia"/>
          <w:b/>
          <w:color w:val="auto"/>
          <w:spacing w:val="-2"/>
          <w:szCs w:val="24"/>
          <w:highlight w:val="auto"/>
        </w:rPr>
        <w:t>2、</w:t>
      </w:r>
      <w:r>
        <w:rPr>
          <w:rFonts w:cs="宋体" w:hint="eastAsia"/>
          <w:b/>
          <w:bCs/>
          <w:color w:val="auto"/>
          <w:szCs w:val="24"/>
          <w:highlight w:val="auto"/>
        </w:rPr>
        <w:t>电梯基本</w:t>
      </w:r>
      <w:r>
        <w:rPr>
          <w:rFonts w:cs="宋体" w:hint="eastAsia"/>
          <w:b/>
          <w:color w:val="auto"/>
          <w:spacing w:val="-2"/>
          <w:szCs w:val="24"/>
          <w:highlight w:val="auto"/>
        </w:rPr>
        <w:t>参数</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72"/>
        <w:gridCol w:w="2681"/>
        <w:gridCol w:w="2139"/>
        <w:gridCol w:w="3092"/>
      </w:tblGrid>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参数名</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1#电梯（兼担架、无障碍电梯）</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2#电梯</w:t>
            </w:r>
          </w:p>
        </w:tc>
        <w:tc>
          <w:tcPr>
            <w:tcW w:w="1665" w:type="pct"/>
          </w:tcPr>
          <w:p>
            <w:pPr>
              <w:rPr>
                <w:rFonts w:ascii="Calibri" w:eastAsia="宋体" w:hAnsi="Calibri" w:hint="eastAsia"/>
                <w:color w:val="auto"/>
                <w:sz w:val="24"/>
                <w:szCs w:val="24"/>
                <w:lang w:eastAsia="zh-CN"/>
                <w:highlight w:val="auto"/>
              </w:rPr>
            </w:pPr>
            <w:r>
              <w:rPr>
                <w:rFonts w:ascii="Calibri" w:hAnsi="Calibri" w:hint="eastAsia"/>
                <w:color w:val="auto"/>
                <w:sz w:val="24"/>
                <w:szCs w:val="24"/>
                <w:highlight w:val="auto"/>
              </w:rPr>
              <w:t>3#消防电梯</w:t>
            </w:r>
            <w:r>
              <w:rPr>
                <w:rFonts w:ascii="Calibri" w:hAnsi="Calibri" w:hint="eastAsia"/>
                <w:color w:val="auto"/>
                <w:sz w:val="24"/>
                <w:szCs w:val="24"/>
                <w:lang w:eastAsia="zh-CN"/>
                <w:highlight w:val="auto"/>
              </w:rPr>
              <w:t>（</w:t>
            </w:r>
            <w:r>
              <w:rPr>
                <w:rFonts w:ascii="Calibri" w:hAnsi="Calibri" w:hint="eastAsia"/>
                <w:color w:val="auto"/>
                <w:sz w:val="24"/>
                <w:szCs w:val="24"/>
                <w:lang w:val="en-US" w:eastAsia="zh-CN"/>
                <w:highlight w:val="auto"/>
              </w:rPr>
              <w:t>带消防功能的电梯</w:t>
            </w:r>
            <w:r>
              <w:rPr>
                <w:rFonts w:ascii="Calibri" w:hAnsi="Calibri" w:hint="eastAsia"/>
                <w:color w:val="auto"/>
                <w:sz w:val="24"/>
                <w:szCs w:val="24"/>
                <w:lang w:eastAsia="zh-CN"/>
                <w:highlight w:val="auto"/>
              </w:rPr>
              <w:t>）</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层站</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19/19/19</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19/19/19</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21/21/21</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额定载重</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1350kg</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1350kg</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1350kg</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额定速度</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2.50m/s</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2.50m/s</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2.50m/s</w:t>
            </w:r>
          </w:p>
        </w:tc>
      </w:tr>
      <w:tr>
        <w:tc>
          <w:tcPr>
            <w:tcW w:w="739" w:type="pct"/>
          </w:tcPr>
          <w:p>
            <w:pPr>
              <w:rPr>
                <w:rFonts w:ascii="Calibri" w:eastAsia="宋体" w:hAnsi="Calibri"/>
                <w:color w:val="auto"/>
                <w:sz w:val="24"/>
                <w:szCs w:val="24"/>
                <w:highlight w:val="auto"/>
              </w:rPr>
            </w:pPr>
            <w:r>
              <w:rPr>
                <w:rFonts w:ascii="Calibri" w:hAnsi="Calibri" w:hint="eastAsia"/>
                <w:color w:val="auto"/>
                <w:sz w:val="24"/>
                <w:szCs w:val="24"/>
                <w:highlight w:val="auto"/>
              </w:rPr>
              <w:t>轿厢净宽深</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2000*1500mm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2000*1500mm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1900*1600</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开门方式</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中分</w:t>
            </w:r>
            <w:r>
              <w:rPr>
                <w:rFonts w:ascii="Calibri" w:hAnsi="Calibri"/>
                <w:color w:val="auto"/>
                <w:sz w:val="24"/>
                <w:szCs w:val="24"/>
                <w:highlight w:val="auto"/>
              </w:rPr>
              <w:t xml:space="preserve"> </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中分</w:t>
            </w:r>
            <w:r>
              <w:rPr>
                <w:rFonts w:ascii="Calibri" w:hAnsi="Calibri"/>
                <w:color w:val="auto"/>
                <w:sz w:val="24"/>
                <w:szCs w:val="24"/>
                <w:highlight w:val="auto"/>
              </w:rPr>
              <w:t xml:space="preserve"> </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中分</w:t>
            </w:r>
            <w:r>
              <w:rPr>
                <w:rFonts w:ascii="Calibri" w:hAnsi="Calibri"/>
                <w:color w:val="auto"/>
                <w:sz w:val="24"/>
                <w:szCs w:val="24"/>
                <w:highlight w:val="auto"/>
              </w:rPr>
              <w:t xml:space="preserve"> </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开门宽高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1100*2100</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1100*2100</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900*2100</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轿厢高度</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2300mm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2300mm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2300mm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井道宽深</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2600*2300mm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2600*2300mm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2400*2300mm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底坑深度</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1900mm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1900mm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1900mm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层高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B1:6.0m、1F：4.2m、2F：4.05m、3F~17F：3.75m、18F：5.1m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B1:6.0m、1F：4.2m、2F：4.05m、3F~17F：3.75m、18F：5.4m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B2:5.4m、B1:6.0m、1F：4.2m、2F：4.05m、3F~18F：3.75m、19F：5.4m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井道总高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77.50m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77.80m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86.95m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机房层高</w:t>
            </w:r>
          </w:p>
        </w:tc>
        <w:tc>
          <w:tcPr>
            <w:tcW w:w="1442" w:type="pct"/>
          </w:tcPr>
          <w:p>
            <w:pPr>
              <w:rPr>
                <w:rFonts w:ascii="Calibri" w:hAnsi="Calibri"/>
                <w:color w:val="auto"/>
                <w:sz w:val="24"/>
                <w:szCs w:val="24"/>
                <w:highlight w:val="auto"/>
              </w:rPr>
            </w:pPr>
            <w:r>
              <w:rPr>
                <w:rFonts w:ascii="Calibri" w:hAnsi="Calibri" w:hint="eastAsia"/>
                <w:color w:val="auto"/>
                <w:sz w:val="24"/>
                <w:szCs w:val="24"/>
                <w:highlight w:val="auto"/>
              </w:rPr>
              <w:t>3.0m</w:t>
            </w:r>
          </w:p>
        </w:tc>
        <w:tc>
          <w:tcPr>
            <w:tcW w:w="1152" w:type="pct"/>
          </w:tcPr>
          <w:p>
            <w:pPr>
              <w:rPr>
                <w:rFonts w:ascii="Calibri" w:hAnsi="Calibri"/>
                <w:color w:val="auto"/>
                <w:sz w:val="24"/>
                <w:szCs w:val="24"/>
                <w:highlight w:val="auto"/>
              </w:rPr>
            </w:pPr>
            <w:r>
              <w:rPr>
                <w:rFonts w:ascii="Calibri" w:hAnsi="Calibri" w:hint="eastAsia"/>
                <w:color w:val="auto"/>
                <w:sz w:val="24"/>
                <w:szCs w:val="24"/>
                <w:highlight w:val="auto"/>
              </w:rPr>
              <w:t>3.0m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3.5m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机房吊钩高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2.6m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2.6m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3.0m</w:t>
            </w:r>
          </w:p>
        </w:tc>
      </w:tr>
    </w:tbl>
    <w:p>
      <w:pPr>
        <w:spacing w:line="360" w:lineRule="auto"/>
        <w:rPr>
          <w:color w:val="auto"/>
          <w:highlight w:val="auto"/>
        </w:rPr>
      </w:pPr>
    </w:p>
    <w:p>
      <w:pPr>
        <w:widowControl/>
        <w:adjustRightInd w:val="0"/>
        <w:snapToGrid w:val="0"/>
        <w:spacing w:line="360" w:lineRule="auto"/>
        <w:rPr>
          <w:rFonts w:ascii="宋体" w:cs="宋体" w:hint="eastAsia"/>
          <w:color w:val="auto"/>
          <w:sz w:val="24"/>
          <w:szCs w:val="24"/>
          <w:highlight w:val="auto"/>
        </w:rPr>
      </w:pPr>
      <w:r>
        <w:rPr>
          <w:rFonts w:ascii="宋体" w:cs="宋体" w:hint="eastAsia"/>
          <w:b/>
          <w:bCs/>
          <w:color w:val="auto"/>
          <w:sz w:val="24"/>
          <w:szCs w:val="24"/>
          <w:highlight w:val="auto"/>
        </w:rPr>
        <w:t>3、基本要求</w:t>
      </w:r>
    </w:p>
    <w:p>
      <w:pPr>
        <w:pStyle w:val="17"/>
        <w:widowControl/>
        <w:adjustRightInd w:val="0"/>
        <w:snapToGrid w:val="0"/>
        <w:spacing w:line="360" w:lineRule="auto"/>
        <w:rPr>
          <w:rFonts w:ascii="宋体" w:eastAsia="宋体" w:cs="宋体" w:hint="eastAsia"/>
          <w:b/>
          <w:bCs/>
          <w:color w:val="auto"/>
          <w:sz w:val="24"/>
          <w:szCs w:val="32"/>
          <w:highlight w:val="auto"/>
        </w:rPr>
      </w:pPr>
      <w:r>
        <w:rPr>
          <w:rFonts w:ascii="宋体" w:eastAsia="宋体" w:cs="宋体" w:hint="eastAsia"/>
          <w:b/>
          <w:bCs/>
          <w:color w:val="auto"/>
          <w:sz w:val="24"/>
          <w:szCs w:val="32"/>
          <w:highlight w:val="auto"/>
        </w:rPr>
        <w:t>1）主要配置</w:t>
      </w:r>
    </w:p>
    <w:p>
      <w:pPr>
        <w:widowControl/>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控制方式：</w:t>
      </w:r>
      <w:r>
        <w:rPr>
          <w:rFonts w:ascii="宋体" w:cs="宋体" w:hint="eastAsia"/>
          <w:color w:val="auto"/>
          <w:sz w:val="24"/>
          <w:szCs w:val="24"/>
          <w:lang w:val="zh-TW"/>
          <w:highlight w:val="auto"/>
        </w:rPr>
        <w:t>群控</w:t>
      </w:r>
      <w:r>
        <w:rPr>
          <w:rFonts w:ascii="宋体" w:cs="宋体" w:hint="eastAsia"/>
          <w:color w:val="auto"/>
          <w:sz w:val="24"/>
          <w:szCs w:val="24"/>
          <w:highlight w:val="auto"/>
        </w:rPr>
        <w:t>；</w:t>
      </w:r>
    </w:p>
    <w:p>
      <w:pPr>
        <w:widowControl/>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控制系统：智能化数据网络控制交流全变频变压调速（VVVF）；</w:t>
      </w:r>
    </w:p>
    <w:p>
      <w:pPr>
        <w:widowControl/>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操作系统：全电脑分组群控控制；</w:t>
      </w:r>
    </w:p>
    <w:p>
      <w:pPr>
        <w:widowControl/>
        <w:tabs>
          <w:tab w:val="left" w:pos="1440"/>
          <w:tab w:val="left" w:pos="2640"/>
        </w:tabs>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控制系统：电脑软件控制(网络、模块化控制)；</w:t>
      </w:r>
    </w:p>
    <w:p>
      <w:pPr>
        <w:widowControl/>
        <w:tabs>
          <w:tab w:val="left" w:pos="1440"/>
          <w:tab w:val="left" w:pos="2640"/>
        </w:tabs>
        <w:adjustRightInd w:val="0"/>
        <w:snapToGrid w:val="0"/>
        <w:spacing w:line="360" w:lineRule="auto"/>
        <w:ind w:leftChars="228" w:left="1679" w:hangingChars="500" w:hanging="1200"/>
        <w:rPr>
          <w:rFonts w:ascii="宋体" w:cs="宋体" w:hint="eastAsia"/>
          <w:bCs/>
          <w:color w:val="auto"/>
          <w:sz w:val="24"/>
          <w:szCs w:val="24"/>
          <w:highlight w:val="auto"/>
        </w:rPr>
      </w:pPr>
      <w:r>
        <w:rPr>
          <w:rFonts w:ascii="宋体" w:cs="宋体" w:hint="eastAsia"/>
          <w:bCs/>
          <w:color w:val="auto"/>
          <w:sz w:val="24"/>
          <w:szCs w:val="24"/>
          <w:highlight w:val="auto"/>
        </w:rPr>
        <w:t>驱动系统：交流变频变压 (VVVF)调速</w:t>
      </w:r>
    </w:p>
    <w:p>
      <w:pPr>
        <w:widowControl/>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门机系统：</w:t>
      </w:r>
      <w:r>
        <w:rPr>
          <w:rFonts w:ascii="宋体" w:cs="宋体" w:hint="eastAsia"/>
          <w:color w:val="auto"/>
          <w:sz w:val="24"/>
          <w:szCs w:val="24"/>
          <w:highlight w:val="auto"/>
        </w:rPr>
        <w:t>采用闭环交流变频调速（VVVF），无连杆门机；</w:t>
      </w:r>
    </w:p>
    <w:p>
      <w:pPr>
        <w:pStyle w:val="19"/>
        <w:ind w:left="90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门   保 ：护</w:t>
      </w:r>
      <w:r>
        <w:rPr>
          <w:rFonts w:ascii="宋体" w:eastAsia="宋体" w:cs="宋体" w:hint="eastAsia"/>
          <w:color w:val="auto"/>
          <w:sz w:val="24"/>
          <w:szCs w:val="24"/>
          <w:lang w:val="zh-TW" w:eastAsia="zh-TW"/>
          <w:highlight w:val="auto"/>
        </w:rPr>
        <w:t>红外线光幕感应门保护；</w:t>
      </w:r>
    </w:p>
    <w:p>
      <w:pPr>
        <w:pStyle w:val="19"/>
        <w:ind w:left="900"/>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主机调速方式：</w:t>
      </w:r>
      <w:r>
        <w:rPr>
          <w:rFonts w:ascii="宋体" w:eastAsia="宋体" w:cs="宋体" w:hint="eastAsia"/>
          <w:color w:val="auto"/>
          <w:sz w:val="24"/>
          <w:szCs w:val="24"/>
          <w:highlight w:val="auto"/>
        </w:rPr>
        <w:t>变频变压</w:t>
      </w:r>
      <w:r>
        <w:rPr>
          <w:rFonts w:ascii="宋体" w:eastAsia="宋体" w:cs="宋体" w:hint="eastAsia"/>
          <w:color w:val="auto"/>
          <w:sz w:val="24"/>
          <w:szCs w:val="24"/>
          <w:lang w:val="zh-TW" w:eastAsia="zh-TW"/>
          <w:highlight w:val="auto"/>
        </w:rPr>
        <w:t>调速；</w:t>
      </w:r>
    </w:p>
    <w:p>
      <w:pPr>
        <w:pStyle w:val="19"/>
        <w:ind w:left="900"/>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曳引机的放置位置：屋顶电梯机房内；</w:t>
      </w:r>
    </w:p>
    <w:p>
      <w:pPr>
        <w:widowControl/>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曳引机</w:t>
      </w:r>
      <w:r>
        <w:rPr>
          <w:rFonts w:ascii="宋体" w:cs="宋体" w:hint="eastAsia"/>
          <w:color w:val="auto"/>
          <w:sz w:val="24"/>
          <w:szCs w:val="24"/>
          <w:lang w:val="zh-TW"/>
          <w:highlight w:val="auto"/>
        </w:rPr>
        <w:t>的类型</w:t>
      </w:r>
      <w:r>
        <w:rPr>
          <w:rFonts w:ascii="宋体" w:cs="宋体" w:hint="eastAsia"/>
          <w:bCs/>
          <w:color w:val="auto"/>
          <w:sz w:val="24"/>
          <w:szCs w:val="24"/>
          <w:highlight w:val="auto"/>
        </w:rPr>
        <w:t>：</w:t>
      </w:r>
      <w:r>
        <w:rPr>
          <w:rFonts w:ascii="宋体" w:cs="宋体" w:hint="eastAsia"/>
          <w:color w:val="auto"/>
          <w:sz w:val="24"/>
          <w:szCs w:val="24"/>
          <w:highlight w:val="auto"/>
        </w:rPr>
        <w:t>曳引主机采用高效永磁同步无齿轮曳引机；</w:t>
      </w:r>
    </w:p>
    <w:p>
      <w:pPr>
        <w:widowControl/>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电    源：动力电源：三相交流380V±15%，50Hz；三相五线制；</w:t>
      </w:r>
    </w:p>
    <w:p>
      <w:pPr>
        <w:widowControl/>
        <w:adjustRightInd w:val="0"/>
        <w:snapToGrid w:val="0"/>
        <w:spacing w:line="360" w:lineRule="auto"/>
        <w:ind w:firstLineChars="1200" w:firstLine="2880"/>
        <w:rPr>
          <w:rFonts w:ascii="宋体" w:cs="宋体" w:hint="eastAsia"/>
          <w:bCs/>
          <w:color w:val="auto"/>
          <w:sz w:val="24"/>
          <w:szCs w:val="24"/>
          <w:highlight w:val="auto"/>
        </w:rPr>
      </w:pPr>
      <w:r>
        <w:rPr>
          <w:rFonts w:ascii="宋体" w:cs="宋体" w:hint="eastAsia"/>
          <w:bCs/>
          <w:color w:val="auto"/>
          <w:sz w:val="24"/>
          <w:szCs w:val="24"/>
          <w:highlight w:val="auto"/>
        </w:rPr>
        <w:t>允许供电频率波动≤±7%；</w:t>
      </w:r>
    </w:p>
    <w:p>
      <w:pPr>
        <w:widowControl/>
        <w:adjustRightInd w:val="0"/>
        <w:snapToGrid w:val="0"/>
        <w:spacing w:line="360" w:lineRule="auto"/>
        <w:ind w:firstLineChars="700" w:firstLine="1680"/>
        <w:rPr>
          <w:rFonts w:ascii="宋体" w:cs="宋体" w:hint="eastAsia"/>
          <w:bCs/>
          <w:color w:val="auto"/>
          <w:sz w:val="24"/>
          <w:szCs w:val="24"/>
          <w:highlight w:val="auto"/>
        </w:rPr>
      </w:pPr>
      <w:r>
        <w:rPr>
          <w:rFonts w:ascii="宋体" w:cs="宋体" w:hint="eastAsia"/>
          <w:bCs/>
          <w:color w:val="auto"/>
          <w:sz w:val="24"/>
          <w:szCs w:val="24"/>
          <w:highlight w:val="auto"/>
        </w:rPr>
        <w:t>照明电源：单相交流220V±10%，50Hz。</w:t>
      </w:r>
    </w:p>
    <w:p>
      <w:pPr>
        <w:widowControl/>
        <w:numPr>
          <w:ilvl w:val="0"/>
          <w:numId w:val="1"/>
        </w:numPr>
        <w:adjustRightInd w:val="0"/>
        <w:snapToGrid w:val="0"/>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电梯部件配置要求：</w:t>
      </w:r>
    </w:p>
    <w:p>
      <w:pPr>
        <w:widowControl/>
        <w:adjustRightInd w:val="0"/>
        <w:snapToGrid w:val="0"/>
        <w:spacing w:line="360" w:lineRule="auto"/>
        <w:ind w:left="120"/>
        <w:rPr>
          <w:rFonts w:ascii="宋体" w:cs="宋体" w:hint="eastAsia"/>
          <w:b/>
          <w:bCs/>
          <w:color w:val="auto"/>
          <w:sz w:val="24"/>
          <w:szCs w:val="24"/>
          <w:highlight w:val="auto"/>
        </w:rPr>
      </w:pPr>
      <w:r>
        <w:rPr>
          <w:rFonts w:ascii="宋体" w:cs="宋体" w:hint="eastAsia"/>
          <w:color w:val="auto"/>
          <w:sz w:val="24"/>
          <w:szCs w:val="24"/>
          <w:highlight w:val="auto"/>
        </w:rPr>
        <w:t>①</w:t>
      </w:r>
      <w:r>
        <w:rPr>
          <w:rFonts w:ascii="宋体" w:cs="宋体" w:hint="eastAsia"/>
          <w:b/>
          <w:bCs/>
          <w:color w:val="auto"/>
          <w:sz w:val="24"/>
          <w:szCs w:val="24"/>
          <w:highlight w:val="auto"/>
        </w:rPr>
        <w:t>安全及主要部件（曳引主机、控制屏、限速器、安全钳、门机、层门、层门装置、缓冲器等）为原厂原品牌制造部件。</w:t>
      </w:r>
    </w:p>
    <w:p>
      <w:pPr>
        <w:widowControl/>
        <w:adjustRightInd w:val="0"/>
        <w:snapToGrid w:val="0"/>
        <w:spacing w:line="360" w:lineRule="auto"/>
        <w:ind w:left="120"/>
        <w:rPr>
          <w:rFonts w:ascii="宋体" w:cs="宋体" w:hint="eastAsia"/>
          <w:b/>
          <w:bCs/>
          <w:color w:val="auto"/>
          <w:sz w:val="24"/>
          <w:szCs w:val="24"/>
          <w:highlight w:val="auto"/>
        </w:rPr>
      </w:pPr>
      <w:r>
        <w:rPr>
          <w:rFonts w:ascii="宋体" w:cs="宋体" w:hint="eastAsia"/>
          <w:color w:val="auto"/>
          <w:sz w:val="24"/>
          <w:szCs w:val="24"/>
          <w:highlight w:val="auto"/>
        </w:rPr>
        <w:t>②</w:t>
      </w:r>
      <w:r>
        <w:rPr>
          <w:rFonts w:cs="Calibri" w:hint="eastAsia"/>
          <w:color w:val="auto"/>
          <w:sz w:val="24"/>
          <w:szCs w:val="24"/>
          <w:highlight w:val="auto"/>
        </w:rPr>
        <w:t>有机房乘客电梯门开关动作寿命≥1000万。</w:t>
      </w:r>
    </w:p>
    <w:p>
      <w:pPr>
        <w:widowControl/>
        <w:adjustRightInd w:val="0"/>
        <w:snapToGrid w:val="0"/>
        <w:spacing w:line="360" w:lineRule="auto"/>
        <w:ind w:firstLineChars="100" w:firstLine="240"/>
        <w:rPr>
          <w:rFonts w:cs="Calibri"/>
          <w:color w:val="auto"/>
          <w:sz w:val="24"/>
          <w:szCs w:val="24"/>
          <w:highlight w:val="auto"/>
        </w:rPr>
      </w:pPr>
      <w:r>
        <w:rPr>
          <w:rFonts w:ascii="微软雅黑" w:eastAsia="微软雅黑" w:cs="微软雅黑" w:hint="eastAsia"/>
          <w:color w:val="auto"/>
          <w:sz w:val="24"/>
          <w:szCs w:val="24"/>
          <w:highlight w:val="auto"/>
        </w:rPr>
        <w:t>③</w:t>
      </w:r>
      <w:r>
        <w:rPr>
          <w:rFonts w:cs="Calibri" w:hint="eastAsia"/>
          <w:color w:val="auto"/>
          <w:sz w:val="24"/>
          <w:szCs w:val="24"/>
          <w:highlight w:val="auto"/>
        </w:rPr>
        <w:t>曳引机制动器动作寿命≥1500万次。</w:t>
      </w:r>
    </w:p>
    <w:p>
      <w:pPr>
        <w:spacing w:line="520" w:lineRule="exact"/>
        <w:ind w:firstLineChars="100" w:firstLine="240"/>
        <w:rPr>
          <w:rFonts w:ascii="宋体" w:eastAsia="宋体"/>
          <w:color w:val="auto"/>
          <w:sz w:val="24"/>
          <w:szCs w:val="24"/>
          <w:highlight w:val="auto"/>
        </w:rPr>
      </w:pPr>
      <w:r>
        <w:rPr>
          <w:rFonts w:ascii="微软雅黑" w:eastAsia="微软雅黑" w:cs="微软雅黑" w:hint="eastAsia"/>
          <w:color w:val="auto"/>
          <w:sz w:val="24"/>
          <w:szCs w:val="24"/>
          <w:highlight w:val="auto"/>
        </w:rPr>
        <w:t>④</w:t>
      </w:r>
      <w:r>
        <w:rPr>
          <w:rFonts w:ascii="宋体" w:eastAsia="宋体" w:hint="eastAsia"/>
          <w:color w:val="auto"/>
          <w:sz w:val="24"/>
          <w:szCs w:val="24"/>
          <w:highlight w:val="auto"/>
        </w:rPr>
        <w:t>电梯层门单一不小于1.</w:t>
      </w:r>
      <w:r>
        <w:rPr>
          <w:rFonts w:ascii="宋体" w:eastAsia="宋体" w:hint="eastAsia"/>
          <w:color w:val="auto"/>
          <w:sz w:val="24"/>
          <w:szCs w:val="24"/>
          <w:lang w:val="en-US" w:eastAsia="zh-CN"/>
          <w:highlight w:val="auto"/>
        </w:rPr>
        <w:t>5</w:t>
      </w:r>
      <w:r>
        <w:rPr>
          <w:rFonts w:ascii="宋体" w:eastAsia="宋体" w:hint="eastAsia"/>
          <w:color w:val="auto"/>
          <w:sz w:val="24"/>
          <w:szCs w:val="24"/>
          <w:highlight w:val="auto"/>
        </w:rPr>
        <w:t>mm厚度</w:t>
      </w:r>
      <w:r>
        <w:rPr>
          <w:rFonts w:ascii="宋体" w:eastAsia="宋体" w:hint="eastAsia"/>
          <w:color w:val="auto"/>
          <w:sz w:val="24"/>
          <w:szCs w:val="24"/>
          <w:lang w:val="en-US" w:eastAsia="zh-CN"/>
          <w:highlight w:val="auto"/>
        </w:rPr>
        <w:t>sus</w:t>
      </w:r>
      <w:r>
        <w:rPr>
          <w:rFonts w:ascii="宋体" w:eastAsia="宋体" w:hint="eastAsia"/>
          <w:color w:val="auto"/>
          <w:sz w:val="24"/>
          <w:szCs w:val="24"/>
          <w:highlight w:val="auto"/>
        </w:rPr>
        <w:t>304不锈钢，</w:t>
      </w:r>
      <w:r>
        <w:rPr>
          <w:rFonts w:ascii="宋体" w:eastAsia="宋体" w:hint="eastAsia"/>
          <w:b/>
          <w:bCs/>
          <w:color w:val="auto"/>
          <w:sz w:val="24"/>
          <w:szCs w:val="24"/>
          <w:highlight w:val="auto"/>
        </w:rPr>
        <w:t>原厂原品牌提供型式试验证明</w:t>
      </w:r>
      <w:r>
        <w:rPr>
          <w:rFonts w:ascii="宋体" w:eastAsia="宋体" w:hint="eastAsia"/>
          <w:b/>
          <w:bCs/>
          <w:color w:val="auto"/>
          <w:sz w:val="24"/>
          <w:szCs w:val="24"/>
          <w:lang w:eastAsia="zh-CN"/>
          <w:highlight w:val="auto"/>
        </w:rPr>
        <w:t>（</w:t>
      </w:r>
      <w:r>
        <w:rPr>
          <w:rFonts w:ascii="宋体" w:eastAsia="宋体" w:hint="eastAsia"/>
          <w:b/>
          <w:bCs/>
          <w:color w:val="auto"/>
          <w:sz w:val="24"/>
          <w:szCs w:val="24"/>
          <w:lang w:val="en-US" w:eastAsia="zh-CN"/>
          <w:highlight w:val="auto"/>
        </w:rPr>
        <w:t>须在投标文件中提供</w:t>
      </w:r>
      <w:r>
        <w:rPr>
          <w:rFonts w:ascii="宋体" w:eastAsia="宋体" w:hint="eastAsia"/>
          <w:b/>
          <w:bCs/>
          <w:color w:val="auto"/>
          <w:sz w:val="24"/>
          <w:szCs w:val="24"/>
          <w:highlight w:val="auto"/>
        </w:rPr>
        <w:t>原厂原品牌提供型式试验证明</w:t>
      </w:r>
      <w:r>
        <w:rPr>
          <w:rFonts w:ascii="宋体" w:eastAsia="宋体" w:hint="eastAsia"/>
          <w:b/>
          <w:bCs/>
          <w:color w:val="auto"/>
          <w:sz w:val="24"/>
          <w:szCs w:val="24"/>
          <w:lang w:eastAsia="zh-CN"/>
          <w:highlight w:val="auto"/>
        </w:rPr>
        <w:t>）</w:t>
      </w:r>
      <w:r>
        <w:rPr>
          <w:rFonts w:ascii="宋体" w:eastAsia="宋体" w:hint="eastAsia"/>
          <w:color w:val="auto"/>
          <w:sz w:val="24"/>
          <w:szCs w:val="24"/>
          <w:highlight w:val="auto"/>
        </w:rPr>
        <w:t>。</w:t>
      </w:r>
    </w:p>
    <w:p>
      <w:pPr>
        <w:spacing w:line="520" w:lineRule="exact"/>
        <w:ind w:firstLineChars="100" w:firstLine="240"/>
        <w:rPr>
          <w:rFonts w:ascii="宋体" w:eastAsia="Arial" w:cs="宋体" w:hAnsi="宋体"/>
          <w:b/>
          <w:snapToGrid w:val="0"/>
          <w:color w:val="auto"/>
          <w:spacing w:val="-4"/>
          <w:sz w:val="24"/>
          <w:szCs w:val="24"/>
          <w:highlight w:val="auto"/>
        </w:rPr>
      </w:pPr>
      <w:r>
        <w:rPr>
          <w:rFonts w:ascii="微软雅黑" w:eastAsia="微软雅黑" w:cs="微软雅黑" w:hint="eastAsia"/>
          <w:bCs/>
          <w:color w:val="auto"/>
          <w:sz w:val="24"/>
          <w:szCs w:val="24"/>
          <w:highlight w:val="auto"/>
        </w:rPr>
        <w:t>⑤</w:t>
      </w:r>
      <w:r>
        <w:rPr>
          <w:rFonts w:ascii="宋体" w:eastAsia="宋体" w:hint="eastAsia"/>
          <w:bCs/>
          <w:color w:val="auto"/>
          <w:sz w:val="24"/>
          <w:szCs w:val="24"/>
          <w:highlight w:val="auto"/>
        </w:rPr>
        <w:t>光幕保护装置技术能力</w:t>
      </w:r>
      <w:r>
        <w:rPr>
          <w:rFonts w:ascii="宋体" w:eastAsia="宋体" w:hint="eastAsia"/>
          <w:color w:val="auto"/>
          <w:sz w:val="24"/>
          <w:szCs w:val="24"/>
          <w:highlight w:val="auto"/>
        </w:rPr>
        <w:t>：</w:t>
      </w:r>
      <w:r>
        <w:rPr>
          <w:rFonts w:ascii="宋体" w:cs="宋体" w:hint="eastAsia"/>
          <w:snapToGrid w:val="0"/>
          <w:color w:val="auto"/>
          <w:spacing w:val="-4"/>
          <w:sz w:val="24"/>
          <w:szCs w:val="24"/>
          <w:highlight w:val="auto"/>
        </w:rPr>
        <w:t>电梯的光幕保护装置采用</w:t>
      </w:r>
      <w:r>
        <w:rPr>
          <w:rFonts w:ascii="宋体" w:eastAsia="Arial" w:cs="宋体" w:hAnsi="宋体" w:hint="eastAsia"/>
          <w:snapToGrid w:val="0"/>
          <w:color w:val="auto"/>
          <w:spacing w:val="-4"/>
          <w:sz w:val="24"/>
          <w:szCs w:val="24"/>
          <w:highlight w:val="auto"/>
        </w:rPr>
        <w:t>2D</w:t>
      </w:r>
      <w:r>
        <w:rPr>
          <w:rFonts w:ascii="宋体" w:cs="宋体" w:hint="eastAsia"/>
          <w:snapToGrid w:val="0"/>
          <w:color w:val="auto"/>
          <w:spacing w:val="-4"/>
          <w:sz w:val="24"/>
          <w:szCs w:val="24"/>
          <w:highlight w:val="auto"/>
        </w:rPr>
        <w:t>红外线感应光幕，交叉式，防护等级</w:t>
      </w:r>
      <w:r>
        <w:rPr>
          <w:rFonts w:ascii="宋体" w:eastAsia="Arial" w:cs="宋体" w:hAnsi="宋体" w:hint="eastAsia"/>
          <w:snapToGrid w:val="0"/>
          <w:color w:val="auto"/>
          <w:spacing w:val="-4"/>
          <w:sz w:val="24"/>
          <w:szCs w:val="24"/>
          <w:highlight w:val="auto"/>
        </w:rPr>
        <w:t>IP54</w:t>
      </w:r>
      <w:r>
        <w:rPr>
          <w:rFonts w:ascii="宋体" w:cs="宋体" w:hint="eastAsia"/>
          <w:snapToGrid w:val="0"/>
          <w:color w:val="auto"/>
          <w:spacing w:val="-4"/>
          <w:sz w:val="24"/>
          <w:szCs w:val="24"/>
          <w:highlight w:val="auto"/>
        </w:rPr>
        <w:t>及以上，且扫描光束</w:t>
      </w:r>
      <w:r>
        <w:rPr>
          <w:rFonts w:ascii="Arial" w:eastAsia="Arial" w:cs="Arial" w:hAnsi="Arial"/>
          <w:snapToGrid w:val="0"/>
          <w:color w:val="auto"/>
          <w:spacing w:val="-4"/>
          <w:sz w:val="24"/>
          <w:szCs w:val="24"/>
          <w:highlight w:val="auto"/>
        </w:rPr>
        <w:t>≥</w:t>
      </w:r>
      <w:r>
        <w:rPr>
          <w:rFonts w:eastAsia="Arial" w:cs="宋体" w:hint="eastAsia"/>
          <w:snapToGrid w:val="0"/>
          <w:color w:val="auto"/>
          <w:spacing w:val="-4"/>
          <w:sz w:val="24"/>
          <w:szCs w:val="24"/>
          <w:highlight w:val="auto"/>
        </w:rPr>
        <w:t>150</w:t>
      </w:r>
      <w:r>
        <w:rPr>
          <w:rFonts w:ascii="宋体" w:cs="宋体" w:hint="eastAsia"/>
          <w:snapToGrid w:val="0"/>
          <w:color w:val="auto"/>
          <w:spacing w:val="-4"/>
          <w:sz w:val="24"/>
          <w:szCs w:val="24"/>
          <w:highlight w:val="auto"/>
        </w:rPr>
        <w:t>束。</w:t>
      </w:r>
    </w:p>
    <w:p>
      <w:pPr>
        <w:pStyle w:val="4"/>
        <w:spacing w:line="520" w:lineRule="exact"/>
        <w:ind w:firstLineChars="100" w:firstLine="240"/>
        <w:rPr>
          <w:rFonts w:ascii="宋体" w:eastAsia="宋体" w:hint="eastAsia"/>
          <w:b w:val="0"/>
          <w:bCs w:val="0"/>
          <w:color w:val="auto"/>
          <w:sz w:val="24"/>
          <w:szCs w:val="24"/>
          <w:highlight w:val="auto"/>
        </w:rPr>
      </w:pPr>
      <w:r>
        <w:rPr>
          <w:rFonts w:ascii="微软雅黑" w:eastAsia="微软雅黑" w:cs="微软雅黑" w:hint="eastAsia"/>
          <w:b w:val="0"/>
          <w:color w:val="auto"/>
          <w:sz w:val="24"/>
          <w:szCs w:val="24"/>
          <w:highlight w:val="auto"/>
        </w:rPr>
        <w:t>⑥</w:t>
      </w:r>
      <w:r>
        <w:rPr>
          <w:rFonts w:ascii="宋体" w:eastAsia="宋体" w:hint="eastAsia"/>
          <w:b w:val="0"/>
          <w:color w:val="auto"/>
          <w:sz w:val="24"/>
          <w:szCs w:val="24"/>
          <w:highlight w:val="auto"/>
        </w:rPr>
        <w:t>抗雷击承受技术能力：电梯制造商乘客电梯的控制柜，浪涌（冲击）电压</w:t>
      </w:r>
      <w:r>
        <w:rPr>
          <w:rFonts w:ascii="Arial" w:eastAsia="宋体" w:cs="Arial" w:hAnsi="Arial"/>
          <w:b w:val="0"/>
          <w:color w:val="auto"/>
          <w:sz w:val="24"/>
          <w:szCs w:val="24"/>
          <w:highlight w:val="auto"/>
        </w:rPr>
        <w:t>≥</w:t>
      </w:r>
      <w:r>
        <w:rPr>
          <w:rFonts w:ascii="宋体" w:eastAsia="宋体" w:hint="eastAsia"/>
          <w:b w:val="0"/>
          <w:color w:val="auto"/>
          <w:sz w:val="24"/>
          <w:szCs w:val="24"/>
          <w:highlight w:val="auto"/>
        </w:rPr>
        <w:t>5KV。</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⑦</w:t>
      </w:r>
      <w:r>
        <w:rPr>
          <w:rFonts w:ascii="宋体" w:cs="宋体" w:hint="eastAsia"/>
          <w:bCs/>
          <w:color w:val="auto"/>
          <w:sz w:val="24"/>
          <w:szCs w:val="24"/>
          <w:u w:color="000000"/>
          <w:highlight w:val="auto"/>
        </w:rPr>
        <w:t>门开门装置和门开关的动作寿命≥</w:t>
      </w:r>
      <w:r>
        <w:rPr>
          <w:rFonts w:cs="宋体" w:hint="eastAsia"/>
          <w:bCs/>
          <w:color w:val="auto"/>
          <w:sz w:val="24"/>
          <w:szCs w:val="24"/>
          <w:u w:color="000000"/>
          <w:highlight w:val="auto"/>
        </w:rPr>
        <w:t>4</w:t>
      </w:r>
      <w:r>
        <w:rPr>
          <w:rFonts w:ascii="宋体" w:cs="宋体" w:hint="eastAsia"/>
          <w:bCs/>
          <w:color w:val="auto"/>
          <w:sz w:val="24"/>
          <w:szCs w:val="24"/>
          <w:u w:color="000000"/>
          <w:highlight w:val="auto"/>
        </w:rPr>
        <w:t>00万次</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⑧</w:t>
      </w:r>
      <w:r>
        <w:rPr>
          <w:rFonts w:ascii="宋体" w:cs="宋体" w:hint="eastAsia"/>
          <w:bCs/>
          <w:color w:val="auto"/>
          <w:sz w:val="24"/>
          <w:szCs w:val="24"/>
          <w:u w:color="000000"/>
          <w:highlight w:val="auto"/>
        </w:rPr>
        <w:t>层门开门装置和门锁的动作寿命≥2</w:t>
      </w:r>
      <w:r>
        <w:rPr>
          <w:rFonts w:cs="宋体" w:hint="eastAsia"/>
          <w:bCs/>
          <w:color w:val="auto"/>
          <w:sz w:val="24"/>
          <w:szCs w:val="24"/>
          <w:u w:color="000000"/>
          <w:highlight w:val="auto"/>
        </w:rPr>
        <w:t>0</w:t>
      </w:r>
      <w:r>
        <w:rPr>
          <w:rFonts w:ascii="宋体" w:cs="宋体" w:hint="eastAsia"/>
          <w:bCs/>
          <w:color w:val="auto"/>
          <w:sz w:val="24"/>
          <w:szCs w:val="24"/>
          <w:u w:color="000000"/>
          <w:highlight w:val="auto"/>
        </w:rPr>
        <w:t>0万次</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⑨</w:t>
      </w:r>
      <w:r>
        <w:rPr>
          <w:rFonts w:ascii="宋体" w:cs="宋体" w:hint="eastAsia"/>
          <w:bCs/>
          <w:color w:val="auto"/>
          <w:sz w:val="24"/>
          <w:szCs w:val="24"/>
          <w:u w:color="000000"/>
          <w:highlight w:val="auto"/>
        </w:rPr>
        <w:t>产品的S3开关动作寿命≥1</w:t>
      </w:r>
      <w:r>
        <w:rPr>
          <w:rFonts w:cs="宋体" w:hint="eastAsia"/>
          <w:bCs/>
          <w:color w:val="auto"/>
          <w:sz w:val="24"/>
          <w:szCs w:val="24"/>
          <w:u w:color="000000"/>
          <w:highlight w:val="auto"/>
        </w:rPr>
        <w:t>0</w:t>
      </w:r>
      <w:r>
        <w:rPr>
          <w:rFonts w:ascii="宋体" w:cs="宋体" w:hint="eastAsia"/>
          <w:bCs/>
          <w:color w:val="auto"/>
          <w:sz w:val="24"/>
          <w:szCs w:val="24"/>
          <w:u w:color="000000"/>
          <w:highlight w:val="auto"/>
        </w:rPr>
        <w:t>00万次</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⑩</w:t>
      </w:r>
      <w:r>
        <w:rPr>
          <w:rFonts w:cs="宋体" w:hint="eastAsia"/>
          <w:bCs/>
          <w:color w:val="auto"/>
          <w:sz w:val="24"/>
          <w:szCs w:val="24"/>
          <w:u w:color="000000"/>
          <w:highlight w:val="auto"/>
        </w:rPr>
        <w:t>采用原厂原品牌按钮，测试寿命</w:t>
      </w:r>
      <w:r>
        <w:rPr>
          <w:rFonts w:ascii="宋体" w:cs="宋体" w:hint="eastAsia"/>
          <w:bCs/>
          <w:color w:val="auto"/>
          <w:sz w:val="24"/>
          <w:szCs w:val="24"/>
          <w:u w:color="000000"/>
          <w:highlight w:val="auto"/>
        </w:rPr>
        <w:t>≥</w:t>
      </w:r>
      <w:r>
        <w:rPr>
          <w:rFonts w:cs="宋体" w:hint="eastAsia"/>
          <w:bCs/>
          <w:color w:val="auto"/>
          <w:sz w:val="24"/>
          <w:szCs w:val="24"/>
          <w:u w:color="000000"/>
          <w:highlight w:val="auto"/>
        </w:rPr>
        <w:t>4</w:t>
      </w:r>
      <w:r>
        <w:rPr>
          <w:rFonts w:ascii="宋体" w:cs="宋体" w:hint="eastAsia"/>
          <w:bCs/>
          <w:color w:val="auto"/>
          <w:sz w:val="24"/>
          <w:szCs w:val="24"/>
          <w:u w:color="000000"/>
          <w:highlight w:val="auto"/>
        </w:rPr>
        <w:t>00万次</w:t>
      </w:r>
    </w:p>
    <w:p>
      <w:pPr>
        <w:spacing w:line="520" w:lineRule="exact"/>
        <w:ind w:firstLineChars="100" w:firstLine="236"/>
        <w:rPr>
          <w:rFonts w:ascii="宋体" w:cs="宋体" w:hint="eastAsia"/>
          <w:bCs/>
          <w:color w:val="auto"/>
          <w:sz w:val="24"/>
          <w:szCs w:val="24"/>
          <w:u w:color="000000"/>
          <w:highlight w:val="auto"/>
        </w:rPr>
      </w:pPr>
      <w:r>
        <w:rPr>
          <w:rFonts w:ascii="Cambria Math" w:eastAsia="微软雅黑" w:cs="Cambria Math" w:hAnsi="Cambria Math"/>
          <w:color w:val="auto"/>
          <w:spacing w:val="-2"/>
          <w:sz w:val="24"/>
          <w:szCs w:val="24"/>
          <w:highlight w:val="auto"/>
        </w:rPr>
        <w:t>⑪</w:t>
      </w:r>
      <w:r>
        <w:rPr>
          <w:rFonts w:hint="eastAsia"/>
          <w:color w:val="auto"/>
          <w:spacing w:val="-2"/>
          <w:sz w:val="24"/>
          <w:szCs w:val="24"/>
          <w:highlight w:val="auto"/>
        </w:rPr>
        <w:t>采用永磁同步无齿轮主</w:t>
      </w:r>
      <w:r>
        <w:rPr>
          <w:color w:val="auto"/>
          <w:spacing w:val="-2"/>
          <w:sz w:val="24"/>
          <w:szCs w:val="24"/>
          <w:highlight w:val="auto"/>
        </w:rPr>
        <w:t>机</w:t>
      </w:r>
      <w:r>
        <w:rPr>
          <w:rFonts w:hint="eastAsia"/>
          <w:color w:val="auto"/>
          <w:spacing w:val="-2"/>
          <w:sz w:val="24"/>
          <w:szCs w:val="24"/>
          <w:highlight w:val="auto"/>
        </w:rPr>
        <w:t>，主机的绝缘性能满足机电产品国标要求。</w:t>
      </w:r>
    </w:p>
    <w:p>
      <w:pPr>
        <w:pStyle w:val="15"/>
        <w:spacing w:line="520" w:lineRule="exact"/>
        <w:ind w:firstLineChars="100" w:firstLine="238"/>
        <w:rPr>
          <w:color w:val="auto"/>
          <w:sz w:val="24"/>
          <w:szCs w:val="24"/>
          <w:highlight w:val="auto"/>
        </w:rPr>
      </w:pPr>
      <w:r>
        <w:rPr>
          <w:rFonts w:ascii="Cambria Math" w:eastAsia="微软雅黑" w:cs="Cambria Math" w:hAnsi="Cambria Math"/>
          <w:color w:val="auto"/>
          <w:spacing w:val="-1"/>
          <w:sz w:val="24"/>
          <w:szCs w:val="24"/>
          <w:highlight w:val="auto"/>
        </w:rPr>
        <w:t>⑫</w:t>
      </w:r>
      <w:r>
        <w:rPr>
          <w:color w:val="auto"/>
          <w:spacing w:val="-1"/>
          <w:sz w:val="24"/>
          <w:szCs w:val="24"/>
          <w:highlight w:val="auto"/>
        </w:rPr>
        <w:t>安全电路满足</w:t>
      </w:r>
      <w:r>
        <w:rPr>
          <w:rFonts w:hint="eastAsia"/>
          <w:color w:val="auto"/>
          <w:spacing w:val="-1"/>
          <w:sz w:val="24"/>
          <w:szCs w:val="24"/>
          <w:highlight w:val="auto"/>
        </w:rPr>
        <w:t>以下功能：①</w:t>
      </w:r>
      <w:r>
        <w:rPr>
          <w:color w:val="auto"/>
          <w:spacing w:val="-1"/>
          <w:sz w:val="24"/>
          <w:szCs w:val="24"/>
          <w:highlight w:val="auto"/>
        </w:rPr>
        <w:t>轿厢意外移动</w:t>
      </w:r>
      <w:r>
        <w:rPr>
          <w:rFonts w:hint="eastAsia"/>
          <w:color w:val="auto"/>
          <w:spacing w:val="-1"/>
          <w:sz w:val="24"/>
          <w:szCs w:val="24"/>
          <w:highlight w:val="auto"/>
        </w:rPr>
        <w:t>保护</w:t>
      </w:r>
      <w:r>
        <w:rPr>
          <w:color w:val="auto"/>
          <w:spacing w:val="-1"/>
          <w:sz w:val="24"/>
          <w:szCs w:val="24"/>
          <w:highlight w:val="auto"/>
        </w:rPr>
        <w:t>装置、</w:t>
      </w:r>
      <w:r>
        <w:rPr>
          <w:rFonts w:hint="eastAsia"/>
          <w:color w:val="auto"/>
          <w:spacing w:val="-1"/>
          <w:sz w:val="24"/>
          <w:szCs w:val="24"/>
          <w:lang w:val="en-US" w:eastAsia="zh-CN"/>
          <w:highlight w:val="auto"/>
        </w:rPr>
        <w:t>②</w:t>
      </w:r>
      <w:r>
        <w:rPr>
          <w:color w:val="auto"/>
          <w:spacing w:val="-1"/>
          <w:sz w:val="24"/>
          <w:szCs w:val="24"/>
          <w:highlight w:val="auto"/>
        </w:rPr>
        <w:t>电气安全回路上的信息采集连接装置</w:t>
      </w:r>
      <w:r>
        <w:rPr>
          <w:rFonts w:hint="eastAsia"/>
          <w:color w:val="auto"/>
          <w:spacing w:val="-1"/>
          <w:sz w:val="24"/>
          <w:szCs w:val="24"/>
          <w:highlight w:val="auto"/>
        </w:rPr>
        <w:t>，确保产品运行安全。</w:t>
      </w:r>
    </w:p>
    <w:p>
      <w:pPr>
        <w:widowControl/>
        <w:adjustRightInd w:val="0"/>
        <w:snapToGrid w:val="0"/>
        <w:spacing w:line="520" w:lineRule="exact"/>
        <w:ind w:firstLineChars="100" w:firstLine="240"/>
        <w:rPr>
          <w:rFonts w:ascii="宋体" w:cs="宋体" w:hint="eastAsia"/>
          <w:b/>
          <w:bCs/>
          <w:color w:val="auto"/>
          <w:sz w:val="24"/>
          <w:szCs w:val="24"/>
          <w:highlight w:val="auto"/>
        </w:rPr>
      </w:pPr>
      <w:r>
        <w:rPr>
          <w:rFonts w:cs="Calibri" w:hint="eastAsia"/>
          <w:color w:val="auto"/>
          <w:sz w:val="24"/>
          <w:szCs w:val="24"/>
          <w:highlight w:val="auto"/>
        </w:rPr>
        <w:t>其他部件满足国标的技术性能参数指标。</w:t>
      </w:r>
    </w:p>
    <w:p>
      <w:pPr>
        <w:widowControl/>
        <w:adjustRightInd w:val="0"/>
        <w:snapToGrid w:val="0"/>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3）客梯基本要求</w:t>
      </w:r>
    </w:p>
    <w:p>
      <w:pPr>
        <w:widowControl/>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①详细土建参数：现场实地测量；</w:t>
      </w:r>
    </w:p>
    <w:p>
      <w:pPr>
        <w:widowControl/>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②基站：1层；</w:t>
      </w:r>
    </w:p>
    <w:p>
      <w:pPr>
        <w:widowControl/>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③停站数：按要求；</w:t>
      </w:r>
    </w:p>
    <w:p>
      <w:pPr>
        <w:widowControl/>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④开门方式：中分门；</w:t>
      </w:r>
    </w:p>
    <w:p>
      <w:pPr>
        <w:widowControl/>
        <w:adjustRightInd w:val="0"/>
        <w:snapToGrid w:val="0"/>
        <w:spacing w:line="360" w:lineRule="auto"/>
        <w:ind w:firstLineChars="200" w:firstLine="480"/>
        <w:rPr>
          <w:rFonts w:ascii="宋体" w:cs="宋体" w:hint="eastAsia"/>
          <w:color w:val="auto"/>
          <w:sz w:val="24"/>
          <w:szCs w:val="24"/>
          <w:highlight w:val="auto"/>
        </w:rPr>
      </w:pPr>
    </w:p>
    <w:p>
      <w:pPr>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4）呼唤、</w:t>
      </w:r>
      <w:r>
        <w:rPr>
          <w:rFonts w:ascii="宋体" w:cs="宋体" w:hint="eastAsia"/>
          <w:b/>
          <w:color w:val="auto"/>
          <w:sz w:val="24"/>
          <w:szCs w:val="24"/>
          <w:lang w:val="zh-TW" w:eastAsia="zh-TW"/>
          <w:highlight w:val="auto"/>
        </w:rPr>
        <w:t>轿厢、井道等基本要求</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98"/>
        <w:gridCol w:w="6287"/>
      </w:tblGrid>
      <w:tr>
        <w:tc>
          <w:tcPr>
            <w:tcW w:w="1614" w:type="pct"/>
            <w:vAlign w:val="center"/>
          </w:tcPr>
          <w:p>
            <w:pPr>
              <w:pStyle w:val="20"/>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轿厢操作盘与通信方式</w:t>
            </w:r>
          </w:p>
        </w:tc>
        <w:tc>
          <w:tcPr>
            <w:tcW w:w="3385" w:type="pct"/>
            <w:vAlign w:val="center"/>
          </w:tcPr>
          <w:p>
            <w:pPr>
              <w:numPr>
                <w:ilvl w:val="0"/>
                <w:numId w:val="2"/>
              </w:numPr>
              <w:adjustRightInd w:val="0"/>
              <w:snapToGrid w:val="0"/>
              <w:rPr>
                <w:rFonts w:ascii="宋体" w:cs="宋体" w:hint="eastAsia"/>
                <w:color w:val="auto"/>
                <w:sz w:val="24"/>
                <w:szCs w:val="24"/>
                <w:lang w:val="zh-TW"/>
                <w:highlight w:val="auto"/>
              </w:rPr>
            </w:pPr>
            <w:r>
              <w:rPr>
                <w:rFonts w:ascii="宋体" w:cs="宋体" w:hint="eastAsia"/>
                <w:color w:val="auto"/>
                <w:sz w:val="24"/>
                <w:szCs w:val="24"/>
                <w:lang w:val="zh-TW" w:eastAsia="zh-TW"/>
                <w:highlight w:val="auto"/>
              </w:rPr>
              <w:t>发纹不锈钢面板，轻触式不锈钢微动</w:t>
            </w:r>
            <w:r>
              <w:rPr>
                <w:rFonts w:ascii="宋体" w:cs="宋体" w:hint="eastAsia"/>
                <w:color w:val="auto"/>
                <w:sz w:val="24"/>
                <w:szCs w:val="24"/>
                <w:lang w:val="zh-TW"/>
                <w:highlight w:val="auto"/>
              </w:rPr>
              <w:t>非接触式悬触</w:t>
            </w:r>
            <w:r>
              <w:rPr>
                <w:rFonts w:ascii="宋体" w:cs="宋体" w:hint="eastAsia"/>
                <w:color w:val="auto"/>
                <w:sz w:val="24"/>
                <w:szCs w:val="24"/>
                <w:lang w:val="zh-TW" w:eastAsia="zh-TW"/>
                <w:highlight w:val="auto"/>
              </w:rPr>
              <w:t>按钮</w:t>
            </w:r>
            <w:r>
              <w:rPr>
                <w:rFonts w:ascii="宋体" w:cs="宋体" w:hint="eastAsia"/>
                <w:color w:val="auto"/>
                <w:sz w:val="24"/>
                <w:szCs w:val="24"/>
                <w:lang w:val="zh-TW"/>
                <w:highlight w:val="auto"/>
              </w:rPr>
              <w:t>；</w:t>
            </w:r>
          </w:p>
          <w:p>
            <w:pPr>
              <w:numPr>
                <w:ilvl w:val="0"/>
                <w:numId w:val="2"/>
              </w:numPr>
              <w:adjustRightInd w:val="0"/>
              <w:snapToGrid w:val="0"/>
              <w:rPr>
                <w:rFonts w:ascii="宋体" w:cs="宋体" w:hint="eastAsia"/>
                <w:color w:val="auto"/>
                <w:sz w:val="24"/>
                <w:szCs w:val="24"/>
                <w:lang w:val="zh-TW"/>
                <w:highlight w:val="auto"/>
              </w:rPr>
            </w:pPr>
            <w:r>
              <w:rPr>
                <w:rFonts w:ascii="宋体" w:cs="宋体" w:hint="eastAsia"/>
                <w:color w:val="auto"/>
                <w:sz w:val="24"/>
                <w:szCs w:val="24"/>
                <w:highlight w:val="auto"/>
              </w:rPr>
              <w:t>一体式点阵显示操纵箱，</w:t>
            </w:r>
            <w:r>
              <w:rPr>
                <w:rFonts w:ascii="宋体" w:cs="宋体" w:hint="eastAsia"/>
                <w:color w:val="auto"/>
                <w:sz w:val="24"/>
                <w:szCs w:val="24"/>
                <w:lang w:val="zh-TW" w:eastAsia="zh-TW"/>
                <w:highlight w:val="auto"/>
              </w:rPr>
              <w:t>警铃，五方通话，基站锁梯，楼层及开关门按钮，对讲及报警装置等功能键，轿厢上、下行及位置显示</w:t>
            </w:r>
            <w:r>
              <w:rPr>
                <w:rFonts w:ascii="宋体" w:cs="宋体" w:hint="eastAsia"/>
                <w:color w:val="auto"/>
                <w:sz w:val="24"/>
                <w:szCs w:val="24"/>
                <w:lang w:val="zh-TW"/>
                <w:highlight w:val="auto"/>
              </w:rPr>
              <w:t>；</w:t>
            </w:r>
          </w:p>
        </w:tc>
      </w:tr>
      <w:tr>
        <w:trPr>
          <w:trHeight w:val="1000"/>
        </w:trPr>
        <w:tc>
          <w:tcPr>
            <w:tcW w:w="1614" w:type="pct"/>
            <w:vAlign w:val="center"/>
          </w:tcPr>
          <w:p>
            <w:pPr>
              <w:pStyle w:val="20"/>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highlight w:val="auto"/>
              </w:rPr>
              <w:t>厅门外召</w:t>
            </w:r>
          </w:p>
        </w:tc>
        <w:tc>
          <w:tcPr>
            <w:tcW w:w="3385" w:type="pct"/>
            <w:vAlign w:val="center"/>
          </w:tcPr>
          <w:p>
            <w:pPr>
              <w:pStyle w:val="16"/>
              <w:ind w:left="1320" w:hanging="480"/>
              <w:rPr>
                <w:rFonts w:ascii="宋体" w:cs="宋体" w:hint="eastAsia"/>
                <w:color w:val="auto"/>
                <w:sz w:val="24"/>
                <w:szCs w:val="24"/>
                <w:highlight w:val="auto"/>
              </w:rPr>
            </w:pPr>
            <w:r>
              <w:rPr>
                <w:rFonts w:ascii="宋体" w:cs="宋体" w:hint="eastAsia"/>
                <w:color w:val="auto"/>
                <w:sz w:val="24"/>
                <w:szCs w:val="24"/>
                <w:highlight w:val="auto"/>
              </w:rPr>
              <w:t xml:space="preserve">1、点阵数字显示， </w:t>
            </w:r>
          </w:p>
          <w:p>
            <w:pPr>
              <w:pStyle w:val="20"/>
              <w:adjustRightInd w:val="0"/>
              <w:snapToGrid w:val="0"/>
              <w:jc w:val="left"/>
              <w:rPr>
                <w:rFonts w:ascii="宋体" w:eastAsia="宋体" w:cs="宋体" w:hint="eastAsia"/>
                <w:color w:val="auto"/>
                <w:sz w:val="24"/>
                <w:szCs w:val="24"/>
                <w:highlight w:val="auto"/>
              </w:rPr>
            </w:pPr>
            <w:r>
              <w:rPr>
                <w:rFonts w:ascii="宋体" w:eastAsia="宋体" w:cs="宋体" w:hint="eastAsia"/>
                <w:color w:val="auto"/>
                <w:sz w:val="24"/>
                <w:szCs w:val="24"/>
                <w:highlight w:val="auto"/>
              </w:rPr>
              <w:t>2、3</w:t>
            </w:r>
            <w:r>
              <w:rPr>
                <w:rFonts w:ascii="宋体" w:eastAsia="宋体" w:cs="宋体"/>
                <w:color w:val="auto"/>
                <w:sz w:val="24"/>
                <w:szCs w:val="24"/>
                <w:highlight w:val="auto"/>
              </w:rPr>
              <w:t>04</w:t>
            </w:r>
            <w:r>
              <w:rPr>
                <w:rFonts w:ascii="宋体" w:eastAsia="宋体" w:cs="宋体" w:hint="eastAsia"/>
                <w:color w:val="auto"/>
                <w:sz w:val="24"/>
                <w:szCs w:val="24"/>
                <w:highlight w:val="auto"/>
              </w:rPr>
              <w:t>发纹不锈钢面板，非接触式悬触按钮。</w:t>
            </w:r>
          </w:p>
        </w:tc>
      </w:tr>
      <w:tr>
        <w:tc>
          <w:tcPr>
            <w:tcW w:w="1614" w:type="pct"/>
            <w:vAlign w:val="center"/>
          </w:tcPr>
          <w:p>
            <w:pPr>
              <w:pStyle w:val="20"/>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轿厢、厅门、小门套</w:t>
            </w:r>
            <w:r>
              <w:rPr>
                <w:rFonts w:ascii="宋体" w:eastAsia="宋体" w:cs="宋体" w:hint="eastAsia"/>
                <w:color w:val="auto"/>
                <w:sz w:val="24"/>
                <w:szCs w:val="24"/>
                <w:highlight w:val="auto"/>
              </w:rPr>
              <w:t>(门框)</w:t>
            </w:r>
            <w:r>
              <w:rPr>
                <w:rFonts w:ascii="宋体" w:eastAsia="宋体" w:cs="宋体" w:hint="eastAsia"/>
                <w:color w:val="auto"/>
                <w:sz w:val="24"/>
                <w:szCs w:val="24"/>
                <w:lang w:val="zh-TW"/>
                <w:highlight w:val="auto"/>
              </w:rPr>
              <w:t>、地板、地坎、</w:t>
            </w:r>
            <w:r>
              <w:rPr>
                <w:rFonts w:ascii="宋体" w:eastAsia="宋体" w:cs="宋体" w:hint="eastAsia"/>
                <w:color w:val="auto"/>
                <w:sz w:val="24"/>
                <w:szCs w:val="24"/>
                <w:lang w:val="zh-TW" w:eastAsia="zh-TW"/>
                <w:highlight w:val="auto"/>
              </w:rPr>
              <w:t>轿内保护</w:t>
            </w:r>
          </w:p>
          <w:p>
            <w:pPr>
              <w:pStyle w:val="20"/>
              <w:adjustRightInd w:val="0"/>
              <w:snapToGrid w:val="0"/>
              <w:jc w:val="center"/>
              <w:rPr>
                <w:rFonts w:ascii="宋体" w:eastAsia="宋体" w:cs="宋体" w:hint="eastAsia"/>
                <w:color w:val="auto"/>
                <w:sz w:val="24"/>
                <w:szCs w:val="24"/>
                <w:highlight w:val="auto"/>
              </w:rPr>
            </w:pPr>
          </w:p>
        </w:tc>
        <w:tc>
          <w:tcPr>
            <w:tcW w:w="3385" w:type="pct"/>
            <w:vAlign w:val="center"/>
          </w:tcPr>
          <w:p>
            <w:pPr>
              <w:pStyle w:val="20"/>
              <w:adjustRightInd w:val="0"/>
              <w:snapToGrid w:val="0"/>
              <w:rPr>
                <w:rFonts w:ascii="宋体" w:eastAsia="宋体" w:cs="宋体" w:hint="eastAsia"/>
                <w:color w:val="auto"/>
                <w:sz w:val="24"/>
                <w:szCs w:val="24"/>
                <w:highlight w:val="auto"/>
              </w:rPr>
            </w:pPr>
            <w:r>
              <w:rPr>
                <w:rFonts w:ascii="宋体" w:eastAsia="宋体" w:cs="宋体" w:hint="eastAsia"/>
                <w:color w:val="auto"/>
                <w:sz w:val="24"/>
                <w:szCs w:val="24"/>
                <w:highlight w:val="auto"/>
              </w:rPr>
              <w:t>1、</w:t>
            </w:r>
            <w:r>
              <w:rPr>
                <w:rFonts w:ascii="宋体" w:eastAsia="宋体" w:cs="宋体" w:hint="eastAsia"/>
                <w:color w:val="auto"/>
                <w:sz w:val="24"/>
                <w:szCs w:val="24"/>
                <w:lang w:val="zh-TW" w:eastAsia="zh-TW"/>
                <w:highlight w:val="auto"/>
              </w:rPr>
              <w:t>轿厢：</w:t>
            </w:r>
            <w:r>
              <w:rPr>
                <w:rFonts w:ascii="宋体" w:eastAsia="宋体" w:cs="宋体" w:hint="eastAsia"/>
                <w:color w:val="auto"/>
                <w:sz w:val="24"/>
                <w:szCs w:val="24"/>
                <w:lang w:val="zh-TW"/>
                <w:highlight w:val="auto"/>
              </w:rPr>
              <w:t>3</w:t>
            </w:r>
            <w:r>
              <w:rPr>
                <w:rFonts w:ascii="宋体" w:eastAsia="PMingLiU" w:cs="宋体" w:hAnsi="宋体"/>
                <w:color w:val="auto"/>
                <w:sz w:val="24"/>
                <w:szCs w:val="24"/>
                <w:lang w:val="zh-TW" w:eastAsia="zh-TW"/>
                <w:highlight w:val="auto"/>
              </w:rPr>
              <w:t>04</w:t>
            </w:r>
            <w:r>
              <w:rPr>
                <w:rFonts w:ascii="宋体" w:eastAsia="宋体" w:cs="宋体" w:hint="eastAsia"/>
                <w:color w:val="auto"/>
                <w:sz w:val="24"/>
                <w:szCs w:val="24"/>
                <w:lang w:val="zh-TW"/>
                <w:highlight w:val="auto"/>
              </w:rPr>
              <w:t>发纹不锈钢（</w:t>
            </w:r>
            <w:r>
              <w:rPr>
                <w:rFonts w:ascii="宋体" w:eastAsia="宋体" w:cs="宋体" w:hint="eastAsia"/>
                <w:color w:val="auto"/>
                <w:sz w:val="24"/>
                <w:szCs w:val="24"/>
                <w:lang w:val="zh-TW" w:eastAsia="zh-TW"/>
                <w:highlight w:val="auto"/>
              </w:rPr>
              <w:t>包括通风扇、照明、应急照明</w:t>
            </w:r>
            <w:r>
              <w:rPr>
                <w:rFonts w:ascii="宋体" w:eastAsia="宋体" w:cs="宋体" w:hint="eastAsia"/>
                <w:color w:val="auto"/>
                <w:sz w:val="24"/>
                <w:szCs w:val="24"/>
                <w:lang w:val="zh-TW" w:eastAsia="zh-CN"/>
                <w:highlight w:val="auto"/>
              </w:rPr>
              <w:t>、滚动导靴</w:t>
            </w:r>
            <w:r>
              <w:rPr>
                <w:rFonts w:ascii="宋体" w:eastAsia="宋体" w:cs="宋体" w:hint="eastAsia"/>
                <w:color w:val="auto"/>
                <w:sz w:val="24"/>
                <w:szCs w:val="24"/>
                <w:lang w:val="zh-TW" w:eastAsia="zh-TW"/>
                <w:highlight w:val="auto"/>
              </w:rPr>
              <w:t>；</w:t>
            </w:r>
            <w:r>
              <w:rPr>
                <w:rFonts w:ascii="宋体" w:eastAsia="宋体" w:cs="宋体" w:hint="eastAsia"/>
                <w:color w:val="auto"/>
                <w:sz w:val="24"/>
                <w:szCs w:val="24"/>
                <w:highlight w:val="auto"/>
              </w:rPr>
              <w:t>）</w:t>
            </w:r>
          </w:p>
          <w:p>
            <w:pPr>
              <w:pStyle w:val="20"/>
              <w:adjustRightInd w:val="0"/>
              <w:snapToGrid w:val="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2、</w:t>
            </w:r>
            <w:r>
              <w:rPr>
                <w:rFonts w:ascii="宋体" w:eastAsia="宋体" w:cs="宋体" w:hint="eastAsia"/>
                <w:color w:val="auto"/>
                <w:sz w:val="24"/>
                <w:szCs w:val="24"/>
                <w:lang w:val="zh-TW" w:eastAsia="zh-TW"/>
                <w:highlight w:val="auto"/>
              </w:rPr>
              <w:t>厅门：</w:t>
            </w:r>
            <w:r>
              <w:rPr>
                <w:rFonts w:ascii="宋体" w:eastAsia="宋体" w:cs="宋体" w:hint="eastAsia"/>
                <w:color w:val="auto"/>
                <w:sz w:val="24"/>
                <w:szCs w:val="24"/>
                <w:lang w:val="zh-TW"/>
                <w:highlight w:val="auto"/>
              </w:rPr>
              <w:t>3</w:t>
            </w:r>
            <w:r>
              <w:rPr>
                <w:rFonts w:ascii="宋体" w:eastAsia="PMingLiU" w:cs="宋体" w:hAnsi="宋体"/>
                <w:color w:val="auto"/>
                <w:sz w:val="24"/>
                <w:szCs w:val="24"/>
                <w:lang w:val="zh-TW" w:eastAsia="zh-TW"/>
                <w:highlight w:val="auto"/>
              </w:rPr>
              <w:t>04</w:t>
            </w:r>
            <w:r>
              <w:rPr>
                <w:rFonts w:ascii="宋体" w:eastAsia="宋体" w:cs="宋体" w:hint="eastAsia"/>
                <w:color w:val="auto"/>
                <w:sz w:val="24"/>
                <w:szCs w:val="24"/>
                <w:lang w:val="zh-TW"/>
                <w:highlight w:val="auto"/>
              </w:rPr>
              <w:t>发纹不锈钢</w:t>
            </w:r>
            <w:r>
              <w:rPr>
                <w:rFonts w:ascii="宋体" w:eastAsia="宋体" w:cs="宋体" w:hint="eastAsia"/>
                <w:color w:val="auto"/>
                <w:sz w:val="24"/>
                <w:szCs w:val="24"/>
                <w:lang w:val="zh-TW" w:eastAsia="zh-TW"/>
                <w:highlight w:val="auto"/>
              </w:rPr>
              <w:t>；</w:t>
            </w:r>
          </w:p>
          <w:p>
            <w:pPr>
              <w:pStyle w:val="20"/>
              <w:adjustRightInd w:val="0"/>
              <w:snapToGrid w:val="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3、小</w:t>
            </w:r>
            <w:r>
              <w:rPr>
                <w:rFonts w:ascii="宋体" w:eastAsia="宋体" w:cs="宋体" w:hint="eastAsia"/>
                <w:color w:val="auto"/>
                <w:sz w:val="24"/>
                <w:szCs w:val="24"/>
                <w:lang w:val="zh-TW" w:eastAsia="zh-TW"/>
                <w:highlight w:val="auto"/>
              </w:rPr>
              <w:t>门套</w:t>
            </w:r>
            <w:r>
              <w:rPr>
                <w:rFonts w:ascii="宋体" w:eastAsia="宋体" w:cs="宋体" w:hint="eastAsia"/>
                <w:color w:val="auto"/>
                <w:sz w:val="24"/>
                <w:szCs w:val="24"/>
                <w:highlight w:val="auto"/>
              </w:rPr>
              <w:t>(门框)</w:t>
            </w:r>
            <w:r>
              <w:rPr>
                <w:rFonts w:ascii="宋体" w:eastAsia="宋体" w:cs="宋体" w:hint="eastAsia"/>
                <w:color w:val="auto"/>
                <w:sz w:val="24"/>
                <w:szCs w:val="24"/>
                <w:lang w:val="zh-TW" w:eastAsia="zh-TW"/>
                <w:highlight w:val="auto"/>
              </w:rPr>
              <w:t>：</w:t>
            </w:r>
            <w:r>
              <w:rPr>
                <w:rFonts w:ascii="宋体" w:eastAsia="宋体" w:cs="宋体" w:hint="eastAsia"/>
                <w:color w:val="auto"/>
                <w:sz w:val="24"/>
                <w:szCs w:val="24"/>
                <w:lang w:val="zh-TW"/>
                <w:highlight w:val="auto"/>
              </w:rPr>
              <w:t>3</w:t>
            </w:r>
            <w:r>
              <w:rPr>
                <w:rFonts w:ascii="宋体" w:eastAsia="PMingLiU" w:cs="宋体" w:hAnsi="宋体"/>
                <w:color w:val="auto"/>
                <w:sz w:val="24"/>
                <w:szCs w:val="24"/>
                <w:lang w:val="zh-TW" w:eastAsia="zh-TW"/>
                <w:highlight w:val="auto"/>
              </w:rPr>
              <w:t>04</w:t>
            </w:r>
            <w:r>
              <w:rPr>
                <w:rFonts w:ascii="宋体" w:eastAsia="宋体" w:cs="宋体" w:hint="eastAsia"/>
                <w:color w:val="auto"/>
                <w:sz w:val="24"/>
                <w:szCs w:val="24"/>
                <w:lang w:val="zh-TW"/>
                <w:highlight w:val="auto"/>
              </w:rPr>
              <w:t>发纹不锈钢</w:t>
            </w:r>
            <w:r>
              <w:rPr>
                <w:rFonts w:ascii="宋体" w:eastAsia="宋体" w:cs="宋体" w:hint="eastAsia"/>
                <w:color w:val="auto"/>
                <w:sz w:val="24"/>
                <w:szCs w:val="24"/>
                <w:highlight w:val="auto"/>
              </w:rPr>
              <w:t>；</w:t>
            </w:r>
          </w:p>
          <w:p>
            <w:pPr>
              <w:pStyle w:val="20"/>
              <w:adjustRightInd w:val="0"/>
              <w:snapToGrid w:val="0"/>
              <w:rPr>
                <w:rFonts w:ascii="宋体" w:eastAsia="宋体" w:cs="宋体" w:hint="eastAsia"/>
                <w:color w:val="auto"/>
                <w:sz w:val="24"/>
                <w:szCs w:val="24"/>
                <w:highlight w:val="auto"/>
              </w:rPr>
            </w:pPr>
            <w:r>
              <w:rPr>
                <w:rFonts w:ascii="宋体" w:eastAsia="宋体" w:cs="宋体" w:hint="eastAsia"/>
                <w:color w:val="auto"/>
                <w:sz w:val="24"/>
                <w:szCs w:val="24"/>
                <w:highlight w:val="auto"/>
              </w:rPr>
              <w:t>4、轿顶：豪华LED轿顶；</w:t>
            </w:r>
          </w:p>
          <w:p>
            <w:pPr>
              <w:pStyle w:val="20"/>
              <w:adjustRightInd w:val="0"/>
              <w:snapToGrid w:val="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5、</w:t>
            </w:r>
            <w:r>
              <w:rPr>
                <w:rFonts w:ascii="宋体" w:eastAsia="宋体" w:cs="宋体" w:hint="eastAsia"/>
                <w:color w:val="auto"/>
                <w:sz w:val="24"/>
                <w:szCs w:val="24"/>
                <w:lang w:val="zh-TW" w:eastAsia="zh-TW"/>
                <w:highlight w:val="auto"/>
              </w:rPr>
              <w:t>地板</w:t>
            </w:r>
            <w:r>
              <w:rPr>
                <w:rFonts w:ascii="宋体" w:eastAsia="宋体" w:cs="宋体" w:hint="eastAsia"/>
                <w:color w:val="auto"/>
                <w:sz w:val="24"/>
                <w:szCs w:val="24"/>
                <w:lang w:val="zh-TW"/>
                <w:highlight w:val="auto"/>
              </w:rPr>
              <w:t>：大理石地板</w:t>
            </w:r>
            <w:r>
              <w:rPr>
                <w:rFonts w:ascii="宋体" w:eastAsia="宋体" w:cs="宋体" w:hint="eastAsia"/>
                <w:color w:val="auto"/>
                <w:sz w:val="24"/>
                <w:szCs w:val="24"/>
                <w:lang w:val="zh-TW" w:eastAsia="zh-TW"/>
                <w:highlight w:val="auto"/>
              </w:rPr>
              <w:t>；</w:t>
            </w:r>
          </w:p>
          <w:p>
            <w:pPr>
              <w:pStyle w:val="20"/>
              <w:adjustRightInd w:val="0"/>
              <w:snapToGrid w:val="0"/>
              <w:rPr>
                <w:rFonts w:ascii="宋体" w:eastAsia="宋体" w:cs="宋体" w:hint="eastAsia"/>
                <w:color w:val="auto"/>
                <w:sz w:val="24"/>
                <w:szCs w:val="24"/>
                <w:highlight w:val="auto"/>
              </w:rPr>
            </w:pPr>
            <w:r>
              <w:rPr>
                <w:rFonts w:ascii="宋体" w:eastAsia="宋体" w:cs="宋体" w:hint="eastAsia"/>
                <w:color w:val="auto"/>
                <w:sz w:val="24"/>
                <w:szCs w:val="24"/>
                <w:highlight w:val="auto"/>
              </w:rPr>
              <w:t>6、</w:t>
            </w:r>
            <w:r>
              <w:rPr>
                <w:rFonts w:ascii="宋体" w:eastAsia="宋体" w:cs="宋体" w:hint="eastAsia"/>
                <w:color w:val="auto"/>
                <w:sz w:val="24"/>
                <w:szCs w:val="24"/>
                <w:lang w:val="zh-TW"/>
                <w:highlight w:val="auto"/>
              </w:rPr>
              <w:t>地坎：</w:t>
            </w:r>
            <w:r>
              <w:rPr>
                <w:rFonts w:ascii="宋体" w:eastAsia="宋体" w:cs="宋体" w:hint="eastAsia"/>
                <w:color w:val="auto"/>
                <w:sz w:val="24"/>
                <w:szCs w:val="24"/>
                <w:highlight w:val="auto"/>
              </w:rPr>
              <w:t>硬质铝合金；</w:t>
            </w:r>
          </w:p>
        </w:tc>
      </w:tr>
      <w:tr>
        <w:tc>
          <w:tcPr>
            <w:tcW w:w="1614" w:type="pct"/>
            <w:vAlign w:val="center"/>
          </w:tcPr>
          <w:p>
            <w:pPr>
              <w:pStyle w:val="20"/>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井道、坑道要求</w:t>
            </w:r>
          </w:p>
        </w:tc>
        <w:tc>
          <w:tcPr>
            <w:tcW w:w="3385" w:type="pct"/>
            <w:vAlign w:val="center"/>
          </w:tcPr>
          <w:p>
            <w:pPr>
              <w:pStyle w:val="20"/>
              <w:adjustRightInd w:val="0"/>
              <w:snapToGrid w:val="0"/>
              <w:jc w:val="center"/>
              <w:rPr>
                <w:rFonts w:ascii="宋体" w:eastAsia="宋体" w:cs="宋体" w:hint="eastAsia"/>
                <w:color w:val="auto"/>
                <w:sz w:val="24"/>
                <w:szCs w:val="24"/>
                <w:lang w:val="zh-TW"/>
                <w:highlight w:val="auto"/>
              </w:rPr>
            </w:pPr>
            <w:r>
              <w:rPr>
                <w:rFonts w:ascii="宋体" w:eastAsia="宋体" w:cs="宋体" w:hint="eastAsia"/>
                <w:color w:val="auto"/>
                <w:sz w:val="24"/>
                <w:szCs w:val="24"/>
                <w:lang w:val="zh-TW" w:eastAsia="zh-TW"/>
                <w:highlight w:val="auto"/>
              </w:rPr>
              <w:t>具有强迫限位开关、终端限位开关、终端极限限位开关等上下终端保护功能。</w:t>
            </w:r>
          </w:p>
        </w:tc>
      </w:tr>
    </w:tbl>
    <w:p>
      <w:pPr>
        <w:spacing w:line="360" w:lineRule="auto"/>
        <w:ind w:firstLineChars="200" w:firstLine="480"/>
        <w:rPr>
          <w:rFonts w:ascii="宋体" w:cs="宋体" w:hint="eastAsia"/>
          <w:b/>
          <w:bCs/>
          <w:color w:val="auto"/>
          <w:sz w:val="24"/>
          <w:szCs w:val="24"/>
          <w:highlight w:val="auto"/>
        </w:rPr>
      </w:pPr>
      <w:r>
        <w:rPr>
          <w:rFonts w:ascii="宋体" w:cs="宋体" w:hint="eastAsia"/>
          <w:b/>
          <w:bCs/>
          <w:color w:val="auto"/>
          <w:sz w:val="24"/>
          <w:szCs w:val="24"/>
          <w:highlight w:val="auto"/>
        </w:rPr>
        <w:t>4）基本功能要求：</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85"/>
        <w:gridCol w:w="4699"/>
      </w:tblGrid>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1、自动再平层</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30、专用服务指示</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2、电梯受阻失速保护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31、层站按钮灯闪烁指示</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3、制动器冗余保护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32、层高自测定功能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4、轿厢微机异常处理</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33、层站召唤自动登</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5、轿内反向指令消除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34、层站微机异常处理</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6、轿内通风装置手动关闭</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35、层站运行控制开关</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7、轿内照明手动关闭</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36、独立运行</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8、关门保护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37、检修操作</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9、轿厢溜车安全保护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38、五方通话装置</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10、轿内运行方向指示</w:t>
            </w:r>
          </w:p>
        </w:tc>
        <w:tc>
          <w:tcPr>
            <w:tcW w:w="2530" w:type="pct"/>
            <w:shd w:val="clear" w:color="auto" w:fill="auto"/>
            <w:vAlign w:val="center"/>
          </w:tcPr>
          <w:p>
            <w:pPr>
              <w:pStyle w:val="15"/>
              <w:ind w:left="480"/>
              <w:rPr>
                <w:rFonts w:ascii="宋体" w:eastAsia="宋体" w:cs="宋体" w:hint="eastAsia"/>
                <w:color w:val="auto"/>
                <w:sz w:val="24"/>
                <w:szCs w:val="24"/>
                <w:lang w:eastAsia="zh-CN"/>
                <w:highlight w:val="auto"/>
              </w:rPr>
            </w:pPr>
            <w:r>
              <w:rPr>
                <w:rFonts w:ascii="宋体" w:cs="宋体" w:hint="eastAsia"/>
                <w:color w:val="auto"/>
                <w:sz w:val="24"/>
                <w:szCs w:val="24"/>
                <w:highlight w:val="auto"/>
              </w:rPr>
              <w:t>39、</w:t>
            </w:r>
            <w:r>
              <w:rPr>
                <w:rFonts w:ascii="宋体" w:cs="宋体" w:hint="eastAsia"/>
                <w:color w:val="auto"/>
                <w:sz w:val="24"/>
                <w:szCs w:val="24"/>
                <w:lang w:val="en-US" w:eastAsia="zh-CN"/>
                <w:highlight w:val="auto"/>
              </w:rPr>
              <w:t>电子式称重</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11、层站运行方向指示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40、门光幕保护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12、门锁旁路运行</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41、电梯不启动报警</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13、关门按钮响应指示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42、次层停靠</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14、换向重开门</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43、过电流保护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15、开门延长按钮</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44、超载报警</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16、开门延长按钮响应指示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45、超速保护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17、门负载检测</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46、电机过热保护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18、开门按钮响应指示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47、过电压保护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19、开门受阻控制</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48、电源故障保护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20、开门保持时间自动调整</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49、上电再平层</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21、门锁短接保护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50、重复关门</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22、关门力矩控制</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51、消防迫降返回</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23、轿厢应急照明</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52、自动驻梯功能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24、运行次数与时间统计</w:t>
            </w:r>
          </w:p>
        </w:tc>
        <w:tc>
          <w:tcPr>
            <w:tcW w:w="2530" w:type="pct"/>
            <w:shd w:val="clear" w:color="auto" w:fill="auto"/>
            <w:vAlign w:val="center"/>
          </w:tcPr>
          <w:p>
            <w:pPr>
              <w:pStyle w:val="15"/>
              <w:ind w:firstLineChars="200" w:firstLine="480"/>
              <w:jc w:val="both"/>
              <w:rPr>
                <w:rFonts w:ascii="宋体" w:cs="宋体" w:hint="eastAsia"/>
                <w:color w:val="auto"/>
                <w:sz w:val="24"/>
                <w:szCs w:val="24"/>
                <w:highlight w:val="auto"/>
              </w:rPr>
            </w:pPr>
            <w:r>
              <w:rPr>
                <w:rFonts w:ascii="宋体" w:cs="宋体" w:hint="eastAsia"/>
                <w:color w:val="auto"/>
                <w:sz w:val="24"/>
                <w:szCs w:val="24"/>
                <w:highlight w:val="auto"/>
              </w:rPr>
              <w:t>53、预留轿厢摄像监控接口</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25、即时关门</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54、防捣乱功能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26、紧急电动运行</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55、</w:t>
            </w:r>
            <w:r>
              <w:rPr>
                <w:rStyle w:val="21"/>
                <w:rFonts w:ascii="宋体" w:cs="宋体" w:hint="eastAsia"/>
                <w:color w:val="auto"/>
                <w:sz w:val="24"/>
                <w:szCs w:val="24"/>
                <w:lang w:val="zh-TW" w:eastAsia="zh-TW"/>
                <w:highlight w:val="auto"/>
              </w:rPr>
              <w:t>紧急消防员服务功能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27、故障自诊断</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56、</w:t>
            </w:r>
            <w:r>
              <w:rPr>
                <w:rStyle w:val="21"/>
                <w:rFonts w:ascii="宋体" w:cs="宋体" w:hint="eastAsia"/>
                <w:color w:val="auto"/>
                <w:sz w:val="24"/>
                <w:szCs w:val="24"/>
                <w:lang w:val="zh-TW" w:eastAsia="zh-TW"/>
                <w:highlight w:val="auto"/>
              </w:rPr>
              <w:t>故障就近平层</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28、轿内报警</w:t>
            </w:r>
          </w:p>
        </w:tc>
        <w:tc>
          <w:tcPr>
            <w:tcW w:w="2530" w:type="pct"/>
            <w:shd w:val="clear" w:color="auto" w:fill="auto"/>
            <w:vAlign w:val="center"/>
          </w:tcPr>
          <w:p>
            <w:pPr>
              <w:pStyle w:val="15"/>
              <w:ind w:left="480"/>
              <w:rPr>
                <w:rFonts w:ascii="宋体" w:cs="宋体" w:hint="eastAsia"/>
                <w:color w:val="auto"/>
                <w:sz w:val="24"/>
                <w:szCs w:val="24"/>
                <w:highlight w:val="auto"/>
              </w:rPr>
            </w:pPr>
          </w:p>
        </w:tc>
      </w:tr>
      <w:tr>
        <w:tc>
          <w:tcPr>
            <w:tcW w:w="2469" w:type="pct"/>
            <w:shd w:val="clear" w:color="auto" w:fill="auto"/>
            <w:vAlign w:val="center"/>
          </w:tcPr>
          <w:p>
            <w:pPr>
              <w:pStyle w:val="15"/>
              <w:ind w:left="480"/>
              <w:rPr>
                <w:rFonts w:ascii="宋体" w:cs="宋体" w:hint="eastAsia"/>
                <w:b/>
                <w:color w:val="auto"/>
                <w:sz w:val="24"/>
                <w:szCs w:val="24"/>
                <w:highlight w:val="auto"/>
              </w:rPr>
            </w:pPr>
            <w:r>
              <w:rPr>
                <w:rFonts w:ascii="宋体" w:cs="宋体" w:hint="eastAsia"/>
                <w:b/>
                <w:color w:val="auto"/>
                <w:sz w:val="24"/>
                <w:szCs w:val="24"/>
                <w:highlight w:val="auto"/>
              </w:rPr>
              <w:t>其他功能</w:t>
            </w:r>
          </w:p>
        </w:tc>
        <w:tc>
          <w:tcPr>
            <w:tcW w:w="2530" w:type="pct"/>
            <w:shd w:val="clear" w:color="auto" w:fill="auto"/>
            <w:vAlign w:val="center"/>
          </w:tcPr>
          <w:p>
            <w:pPr>
              <w:pStyle w:val="15"/>
              <w:ind w:left="480"/>
              <w:rPr>
                <w:rFonts w:ascii="宋体" w:cs="宋体" w:hint="eastAsia"/>
                <w:color w:val="auto"/>
                <w:sz w:val="24"/>
                <w:szCs w:val="24"/>
                <w:highlight w:val="auto"/>
              </w:rPr>
            </w:pP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w:t>
            </w:r>
            <w:r>
              <w:rPr>
                <w:rFonts w:ascii="宋体" w:cs="宋体"/>
                <w:color w:val="auto"/>
                <w:sz w:val="24"/>
                <w:szCs w:val="24"/>
                <w:highlight w:val="auto"/>
              </w:rPr>
              <w:t>IC</w:t>
            </w:r>
            <w:r>
              <w:rPr>
                <w:rFonts w:ascii="宋体" w:cs="宋体" w:hint="eastAsia"/>
                <w:color w:val="auto"/>
                <w:sz w:val="24"/>
                <w:szCs w:val="24"/>
                <w:highlight w:val="auto"/>
              </w:rPr>
              <w:t>卡刷卡</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2、语音报站（中英文）</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3、轿厢到站钟</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4、停电应急停靠</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5、单冷空调</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6、视频电缆</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7、轿厢监控摄像头</w:t>
            </w:r>
          </w:p>
        </w:tc>
        <w:tc>
          <w:tcPr>
            <w:tcW w:w="2530" w:type="pct"/>
            <w:shd w:val="clear" w:color="auto" w:fill="auto"/>
            <w:vAlign w:val="center"/>
          </w:tcPr>
          <w:p>
            <w:pPr>
              <w:pStyle w:val="15"/>
              <w:ind w:left="480"/>
              <w:rPr>
                <w:rFonts w:ascii="宋体" w:eastAsia="宋体" w:cs="宋体"/>
                <w:color w:val="auto"/>
                <w:sz w:val="24"/>
                <w:szCs w:val="24"/>
                <w:lang w:val="en-US" w:eastAsia="zh-CN"/>
                <w:highlight w:val="auto"/>
              </w:rPr>
            </w:pPr>
            <w:r>
              <w:rPr>
                <w:rFonts w:ascii="宋体" w:cs="宋体" w:hint="eastAsia"/>
                <w:color w:val="auto"/>
                <w:sz w:val="24"/>
                <w:szCs w:val="24"/>
                <w:lang w:val="en-US" w:eastAsia="zh-CN"/>
                <w:highlight w:val="auto"/>
              </w:rPr>
              <w:t>8、满载直驶功能</w:t>
            </w:r>
          </w:p>
        </w:tc>
      </w:tr>
    </w:tbl>
    <w:p>
      <w:pPr>
        <w:kinsoku w:val="0"/>
        <w:autoSpaceDE w:val="0"/>
        <w:autoSpaceDN w:val="0"/>
        <w:adjustRightInd w:val="0"/>
        <w:snapToGrid w:val="0"/>
        <w:spacing w:line="360" w:lineRule="auto"/>
        <w:ind w:right="135"/>
        <w:textAlignment w:val="baseline"/>
        <w:rPr>
          <w:rFonts w:ascii="宋体" w:cs="仿宋" w:hint="eastAsia"/>
          <w:b/>
          <w:color w:val="auto"/>
          <w:sz w:val="24"/>
          <w:szCs w:val="24"/>
          <w:highlight w:val="auto"/>
        </w:rPr>
        <w:sectPr>
          <w:headerReference w:type="default" r:id="rId2"/>
          <w:footerReference w:type="default" r:id="rId3"/>
          <w:pgSz w:w="11906" w:h="16838"/>
          <w:pgMar w:top="1247" w:right="1417" w:bottom="1702" w:left="1417" w:header="851" w:footer="992" w:gutter="0"/>
          <w:docGrid w:linePitch="312" w:charSpace="0"/>
        </w:sectPr>
      </w:pPr>
      <w:r>
        <w:rPr>
          <w:rFonts w:ascii="宋体" w:cs="宋体" w:hint="eastAsia"/>
          <w:b/>
          <w:bCs/>
          <w:color w:val="auto"/>
          <w:spacing w:val="5"/>
          <w:sz w:val="24"/>
          <w:szCs w:val="24"/>
          <w:highlight w:val="auto"/>
        </w:rPr>
        <w:t>投标人须完全响应本项目</w:t>
      </w:r>
      <w:r>
        <w:rPr>
          <w:rFonts w:ascii="宋体" w:cs="仿宋" w:hint="eastAsia"/>
          <w:b/>
          <w:color w:val="auto"/>
          <w:sz w:val="24"/>
          <w:szCs w:val="24"/>
          <w:highlight w:val="auto"/>
        </w:rPr>
        <w:t>技术需求</w:t>
      </w:r>
      <w:r>
        <w:rPr>
          <w:rFonts w:ascii="宋体" w:cs="宋体" w:hint="eastAsia"/>
          <w:b/>
          <w:bCs/>
          <w:color w:val="auto"/>
          <w:sz w:val="24"/>
          <w:szCs w:val="24"/>
          <w:highlight w:val="auto"/>
        </w:rPr>
        <w:t>，否则作无效投标处理。</w:t>
      </w:r>
    </w:p>
    <w:p>
      <w:pPr>
        <w:spacing w:afterLines="50" w:after="120" w:line="500" w:lineRule="exact"/>
        <w:outlineLvl w:val="2"/>
        <w:rPr>
          <w:rFonts w:ascii="宋体" w:cs="仿宋" w:hint="eastAsia"/>
          <w:b/>
          <w:color w:val="auto"/>
          <w:sz w:val="24"/>
          <w:szCs w:val="24"/>
          <w:highlight w:val="auto"/>
        </w:rPr>
      </w:pPr>
      <w:r>
        <w:rPr>
          <w:rFonts w:ascii="宋体" w:cs="仿宋" w:hint="eastAsia"/>
          <w:b/>
          <w:color w:val="auto"/>
          <w:sz w:val="24"/>
          <w:szCs w:val="24"/>
          <w:highlight w:val="auto"/>
        </w:rPr>
        <w:t>（二）商务条款</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1、设备安装期限：本项目为交钥匙项目，工期：以合同约定的时间为准。</w:t>
      </w:r>
    </w:p>
    <w:p>
      <w:pPr>
        <w:spacing w:line="460" w:lineRule="exact"/>
        <w:rPr>
          <w:rFonts w:ascii="宋体" w:eastAsia="宋体" w:cs="宋体" w:hint="eastAsia"/>
          <w:bCs/>
          <w:color w:val="auto"/>
          <w:sz w:val="24"/>
          <w:szCs w:val="24"/>
          <w:lang w:eastAsia="zh-CN"/>
          <w:highlight w:val="auto"/>
        </w:rPr>
      </w:pPr>
      <w:r>
        <w:rPr>
          <w:rFonts w:ascii="宋体" w:cs="宋体" w:hint="eastAsia"/>
          <w:bCs/>
          <w:color w:val="auto"/>
          <w:sz w:val="24"/>
          <w:szCs w:val="24"/>
          <w:highlight w:val="auto"/>
        </w:rPr>
        <w:t>2、安装地点：以合同约定为准</w:t>
      </w:r>
      <w:r>
        <w:rPr>
          <w:rFonts w:ascii="宋体" w:cs="宋体" w:hint="eastAsia"/>
          <w:bCs/>
          <w:color w:val="auto"/>
          <w:sz w:val="24"/>
          <w:szCs w:val="24"/>
          <w:lang w:eastAsia="zh-CN"/>
          <w:highlight w:val="auto"/>
        </w:rPr>
        <w:t>。</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3、合同价款：本合同价款包含拆除费（按采购人要求搬运至指定地点）、搬运费、新设备运输费、安装调试费、验收费、机房改造费用及税费等一切费用（设备开具13%增值税发票，安装开具3%增值税发票）。</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4、合同设备运输：投标人负责运输，运输费及保险费计入总价。</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5、付款方式</w:t>
      </w:r>
    </w:p>
    <w:p>
      <w:pPr>
        <w:spacing w:line="460" w:lineRule="exact"/>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履约保证金：合同签订后5日内，中标投标人向采购人支付合同总价的10%作为履约保证金，履约保证金在中标投标人履行完合同约定的权利义务事项后退还。</w:t>
      </w:r>
    </w:p>
    <w:p>
      <w:pPr>
        <w:spacing w:line="460" w:lineRule="exact"/>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付款方式：</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6、投标人完成所需电梯的拆除、设计、制造、供应、包装、运输、安装、调试、试运行、验收、工程垃圾外运，电梯到相关管理部门进行备案及新安装电梯24个月质保期及保养期。</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7、电梯井道为老井道，新电梯必须满足井道的要求，对不满足电梯新国标标准部分由投标人负责电梯井道的改造，从而达到电梯验收标准。</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8、电梯到货时投标人应提供合同电梯品牌的产品出厂质量合格证；</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9、投标人负责按招标文件规定的安装现场进行设备的吊装、搬运、安装、调试及试运行。安装材料由供货方包干解决，其费用计入投标总价中。</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10、安装调试完毕后，由投标人、采购人和设备使用当地的质检部门按相应最新的电梯验收标准进行检测、验收，最终验收合格后，进入质量保证期。特种设备监督检验部门出具的电梯监督检验报告后方为验收合格，进入保养期，保养期为24个月。</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11、投标人负责施工现场的安全管理，需对对施工现场、货物堆放处进行围档，保证施工现场及周边的安全防护及环境卫生，如施工人员、周边行人因工地原因出现安全问题由中标方负全责。</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12、售后服务</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（1）质保期内非人为故障，投标人负责维修或更换。</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（2）质保期后提供终身有偿服务及软件升级。</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（3）提供操作维护培训（至少2名管理人员）。</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13、违约责任</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（1）投标人逾期交货或安装，按每日万分之五支付违约金（上限15%）；逾期超20日，采购人可解除合同并要求30%违约金。</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（2）采购人逾期付款，按同等标准支付违约金。</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不可抗力免责。</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14、合同变更与解除：合同变更需双方书面同意，并签署补充协议。单方违约解除合同，违约方支付总价30%违约金。</w:t>
      </w:r>
    </w:p>
    <w:p>
      <w:pPr>
        <w:spacing w:line="460" w:lineRule="exact"/>
        <w:rPr>
          <w:rFonts w:ascii="宋体" w:cs="宋体" w:hint="eastAsia"/>
          <w:bCs/>
          <w:color w:val="auto"/>
          <w:sz w:val="24"/>
          <w:szCs w:val="24"/>
          <w:highlight w:val="auto"/>
        </w:rPr>
      </w:pP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highlight w:val="auto"/>
        </w:rPr>
        <w:t>一、本项目客梯应当配备具有运行参数采集和网络远程传输功能的检测装置</w:t>
      </w:r>
      <w:r>
        <w:rPr>
          <w:rFonts w:ascii="宋体" w:cs="宋体" w:hint="eastAsia"/>
          <w:bCs/>
          <w:color w:val="auto"/>
          <w:sz w:val="24"/>
          <w:szCs w:val="24"/>
          <w:lang w:eastAsia="zh-CN"/>
          <w:highlight w:val="auto"/>
        </w:rPr>
        <w:t>：</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检测装置需同时满足 “参数采集” 与 “远程传输” 两大核心能力，具体功能需覆盖电梯安全运行的关键维度：</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1. 运行参数采集范围（必含核心项）</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需实时、准确采集电梯运行中与 “安全状态、设备健康、运行效率” 相关的参数，至少包括：</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安全类参数：轿厢实际运行速度（对比额定速度，防止超速 / 溜车）、轿厢 / 对重位置（精准定位，避免越程）、层门 / 轿门门锁状态（检测是否锁闭到位，防止开门运行）、超载 / 欠载信号（保障承重安全）、紧急停止按钮状态。</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设备健康类参数：曳引机电机温度（防止过热损坏）、电机工作电压 / 电流（监测电路异常）、导轨润滑状态（部分装置可采集）、制动器动作次数与状态（防止制动失效）。</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运行记录类参数：每次运行的起止楼层、运行时长、开关门次数、故障代码（如困人、门故障等，便于追溯）。</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2. 网络远程传输要求</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传输稳定性：支持主流传输方式，如 4G/5G（适用于无固定网络场景）、以太网（适用于楼宇内固定网络覆盖场景）、LoRa（适用于低功耗、小数据量的远距离传输），确保数据无间断上传（断网时需支持本地缓存，网络恢复后补传）。</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数据安全性：传输过程需加密（如采用 SSL/TLS 协议），防止参数被篡改或泄露；仅授权终端（如物业监控平台、电梯维保单位系统）可访问数据。</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传输频率：常规运行参数（如位置、速度）需实时传输（间隔≤1 秒）；非实时参数（如电机温度、动作次数）可按周期传输（间隔≤5 分钟）；故障信号需 “即时触发上传”（延迟≤3 秒）。</w:t>
      </w:r>
    </w:p>
    <w:p>
      <w:pPr>
        <w:spacing w:line="460" w:lineRule="exact"/>
        <w:rPr>
          <w:rFonts w:ascii="宋体" w:cs="宋体" w:hint="eastAsia"/>
          <w:bCs/>
          <w:color w:val="auto"/>
          <w:sz w:val="24"/>
          <w:szCs w:val="24"/>
          <w:highlight w:val="auto"/>
        </w:rPr>
      </w:pPr>
      <w:r>
        <w:rPr>
          <w:rFonts w:ascii="宋体" w:cs="宋体" w:hint="eastAsia"/>
          <w:bCs/>
          <w:color w:val="auto"/>
          <w:sz w:val="24"/>
          <w:szCs w:val="24"/>
          <w:lang w:val="en-US" w:eastAsia="zh-CN"/>
          <w:highlight w:val="auto"/>
        </w:rPr>
        <w:t>且须符合国家相应标准及规范：GB/T 7588.1—2020《针对乘客与载货电梯》、GB/T 7588.2—2020《规范部件设计与检验》、GB/T 35134-2017《电梯、自动扶梯和自动人行道物联网接口规范》、GB/T 24475-2009《电梯远程监控系统技术要求》等</w:t>
      </w:r>
      <w:r>
        <w:rPr>
          <w:rFonts w:ascii="宋体" w:cs="宋体" w:hint="eastAsia"/>
          <w:bCs/>
          <w:color w:val="auto"/>
          <w:sz w:val="24"/>
          <w:szCs w:val="24"/>
          <w:highlight w:val="auto"/>
        </w:rPr>
        <w:t>。</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二、本项目实行“电梯设备+维保服务”一体化采购模式。维保要求如下：</w:t>
      </w:r>
    </w:p>
    <w:p>
      <w:pPr>
        <w:widowControl/>
        <w:jc w:val="left"/>
        <w:rPr>
          <w:b/>
          <w:color w:val="auto"/>
          <w:szCs w:val="21"/>
          <w:highlight w:val="auto"/>
        </w:rPr>
      </w:pPr>
      <w:r>
        <w:rPr>
          <w:b/>
          <w:color w:val="auto"/>
          <w:szCs w:val="21"/>
          <w:highlight w:val="auto"/>
        </w:rPr>
        <w:br w:type="page"/>
      </w:r>
    </w:p>
    <w:p>
      <w:pPr>
        <w:jc w:val="center"/>
        <w:rPr>
          <w:b/>
          <w:color w:val="auto"/>
          <w:sz w:val="15"/>
          <w:szCs w:val="15"/>
          <w:highlight w:val="auto"/>
        </w:rPr>
      </w:pPr>
      <w:r>
        <w:rPr>
          <w:rFonts w:hint="eastAsia"/>
          <w:b/>
          <w:color w:val="auto"/>
          <w:sz w:val="22"/>
          <w:szCs w:val="22"/>
          <w:highlight w:val="auto"/>
        </w:rPr>
        <w:t xml:space="preserve">曳引与强制驱动电梯维护保养作业要求 </w:t>
      </w:r>
      <w:r>
        <w:rPr>
          <w:b/>
          <w:color w:val="auto"/>
          <w:sz w:val="22"/>
          <w:szCs w:val="22"/>
          <w:highlight w:val="auto"/>
        </w:rPr>
        <w:t>(</w:t>
      </w:r>
      <w:r>
        <w:rPr>
          <w:rFonts w:hint="eastAsia"/>
          <w:b/>
          <w:color w:val="auto"/>
          <w:sz w:val="20"/>
          <w:szCs w:val="20"/>
          <w:highlight w:val="auto"/>
        </w:rPr>
        <w:t>TSG T5002-2017</w:t>
      </w:r>
      <w:r>
        <w:rPr>
          <w:b/>
          <w:color w:val="auto"/>
          <w:sz w:val="20"/>
          <w:szCs w:val="20"/>
          <w:highlight w:val="auto"/>
        </w:rPr>
        <w:t>)</w:t>
      </w:r>
      <w:r>
        <w:rPr>
          <w:rFonts w:hint="eastAsia"/>
          <w:b/>
          <w:color w:val="auto"/>
          <w:sz w:val="22"/>
          <w:szCs w:val="22"/>
          <w:highlight w:val="auto"/>
        </w:rPr>
        <w:t xml:space="preserve">    </w:t>
      </w:r>
      <w:r>
        <w:rPr>
          <w:b/>
          <w:color w:val="auto"/>
          <w:sz w:val="15"/>
          <w:szCs w:val="15"/>
          <w:highlight w:val="auto"/>
        </w:rPr>
        <w:t>(</w:t>
      </w:r>
      <w:r>
        <w:rPr>
          <w:rFonts w:hint="eastAsia"/>
          <w:b/>
          <w:color w:val="auto"/>
          <w:sz w:val="15"/>
          <w:szCs w:val="15"/>
          <w:highlight w:val="auto"/>
        </w:rPr>
        <w:t>附件二</w:t>
      </w:r>
      <w:r>
        <w:rPr>
          <w:b/>
          <w:color w:val="auto"/>
          <w:sz w:val="15"/>
          <w:szCs w:val="15"/>
          <w:highlight w:val="auto"/>
        </w:rPr>
        <w:t>)</w:t>
      </w:r>
    </w:p>
    <w:tbl>
      <w:tblPr>
        <w:jc w:val="center"/>
        <w:tblW w:w="10822"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513"/>
        <w:gridCol w:w="3923"/>
        <w:gridCol w:w="472"/>
        <w:gridCol w:w="379"/>
        <w:gridCol w:w="405"/>
        <w:gridCol w:w="445"/>
        <w:gridCol w:w="4685"/>
      </w:tblGrid>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b/>
                <w:color w:val="auto"/>
                <w:spacing w:val="-6"/>
                <w:kern w:val="0"/>
                <w:sz w:val="16"/>
                <w:szCs w:val="16"/>
                <w:highlight w:val="auto"/>
              </w:rPr>
            </w:pPr>
            <w:r>
              <w:rPr>
                <w:rFonts w:ascii="宋体" w:cs="宋体" w:hint="eastAsia"/>
                <w:b/>
                <w:color w:val="auto"/>
                <w:spacing w:val="-6"/>
                <w:kern w:val="0"/>
                <w:sz w:val="16"/>
                <w:szCs w:val="16"/>
                <w:highlight w:val="auto"/>
              </w:rPr>
              <w:t>序号</w:t>
            </w:r>
          </w:p>
        </w:tc>
        <w:tc>
          <w:tcPr>
            <w:tcW w:w="3923" w:type="dxa"/>
            <w:tcBorders>
              <w:top w:val="single" w:sz="4" w:space="0" w:color="auto"/>
              <w:left w:val="nil"/>
              <w:bottom w:val="single" w:sz="4" w:space="0" w:color="auto"/>
              <w:right w:val="single" w:sz="4" w:space="0" w:color="auto"/>
            </w:tcBorders>
            <w:shd w:val="clear" w:color="auto" w:fill="auto"/>
            <w:vAlign w:val="center"/>
          </w:tcPr>
          <w:p>
            <w:pPr>
              <w:widowControl/>
              <w:spacing w:line="160" w:lineRule="exact"/>
              <w:jc w:val="center"/>
              <w:rPr>
                <w:rFonts w:ascii="宋体" w:cs="宋体" w:hint="eastAsia"/>
                <w:b/>
                <w:color w:val="auto"/>
                <w:spacing w:val="-6"/>
                <w:kern w:val="0"/>
                <w:sz w:val="16"/>
                <w:szCs w:val="16"/>
                <w:highlight w:val="auto"/>
              </w:rPr>
            </w:pPr>
            <w:r>
              <w:rPr>
                <w:rFonts w:ascii="宋体" w:hint="eastAsia"/>
                <w:b/>
                <w:color w:val="auto"/>
                <w:spacing w:val="-6"/>
                <w:sz w:val="16"/>
                <w:szCs w:val="16"/>
                <w:highlight w:val="auto"/>
              </w:rPr>
              <w:t>维护保养作业项目</w:t>
            </w:r>
            <w:r>
              <w:rPr>
                <w:rFonts w:ascii="宋体"/>
                <w:b/>
                <w:color w:val="auto"/>
                <w:spacing w:val="-6"/>
                <w:sz w:val="16"/>
                <w:szCs w:val="16"/>
                <w:highlight w:val="auto"/>
              </w:rPr>
              <w:t>(</w:t>
            </w:r>
            <w:r>
              <w:rPr>
                <w:rFonts w:ascii="宋体" w:hint="eastAsia"/>
                <w:b/>
                <w:color w:val="auto"/>
                <w:spacing w:val="-6"/>
                <w:sz w:val="16"/>
                <w:szCs w:val="16"/>
                <w:highlight w:val="auto"/>
              </w:rPr>
              <w:t>内容</w:t>
            </w:r>
            <w:r>
              <w:rPr>
                <w:rFonts w:ascii="宋体"/>
                <w:b/>
                <w:color w:val="auto"/>
                <w:spacing w:val="-6"/>
                <w:sz w:val="16"/>
                <w:szCs w:val="16"/>
                <w:highlight w:val="auto"/>
              </w:rPr>
              <w:t>)</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6"/>
                <w:szCs w:val="16"/>
                <w:highlight w:val="auto"/>
              </w:rPr>
            </w:pPr>
            <w:r>
              <w:rPr>
                <w:rFonts w:ascii="宋体" w:hint="eastAsia"/>
                <w:b/>
                <w:color w:val="auto"/>
                <w:spacing w:val="-6"/>
                <w:sz w:val="16"/>
                <w:szCs w:val="16"/>
                <w:highlight w:val="auto"/>
              </w:rPr>
              <w:t>半月</w:t>
            </w: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6"/>
                <w:szCs w:val="16"/>
                <w:highlight w:val="auto"/>
              </w:rPr>
            </w:pPr>
            <w:r>
              <w:rPr>
                <w:rFonts w:ascii="宋体" w:hint="eastAsia"/>
                <w:b/>
                <w:color w:val="auto"/>
                <w:spacing w:val="-6"/>
                <w:sz w:val="16"/>
                <w:szCs w:val="16"/>
                <w:highlight w:val="auto"/>
              </w:rPr>
              <w:t>季度</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6"/>
                <w:szCs w:val="16"/>
                <w:highlight w:val="auto"/>
              </w:rPr>
            </w:pPr>
            <w:r>
              <w:rPr>
                <w:rFonts w:ascii="宋体" w:hint="eastAsia"/>
                <w:b/>
                <w:color w:val="auto"/>
                <w:spacing w:val="-6"/>
                <w:sz w:val="16"/>
                <w:szCs w:val="16"/>
                <w:highlight w:val="auto"/>
              </w:rPr>
              <w:t>半年</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6"/>
                <w:szCs w:val="16"/>
                <w:highlight w:val="auto"/>
              </w:rPr>
            </w:pPr>
            <w:r>
              <w:rPr>
                <w:rFonts w:ascii="宋体" w:hint="eastAsia"/>
                <w:b/>
                <w:color w:val="auto"/>
                <w:spacing w:val="-6"/>
                <w:sz w:val="16"/>
                <w:szCs w:val="16"/>
                <w:highlight w:val="auto"/>
              </w:rPr>
              <w:t>年度</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center"/>
              <w:rPr>
                <w:rFonts w:ascii="宋体" w:cs="宋体" w:hint="eastAsia"/>
                <w:b/>
                <w:color w:val="auto"/>
                <w:spacing w:val="-6"/>
                <w:kern w:val="0"/>
                <w:sz w:val="16"/>
                <w:szCs w:val="16"/>
                <w:highlight w:val="auto"/>
              </w:rPr>
            </w:pPr>
            <w:r>
              <w:rPr>
                <w:rFonts w:ascii="宋体" w:hint="eastAsia"/>
                <w:b/>
                <w:color w:val="auto"/>
                <w:spacing w:val="-6"/>
                <w:sz w:val="16"/>
                <w:szCs w:val="16"/>
                <w:highlight w:val="auto"/>
              </w:rPr>
              <w:t>维护保养基本要求</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机房、滑轮间环境</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清洁，门窗完好、照明正常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手动紧急操作装置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齐全，在指定位置</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驱动主机</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运行时无异常振动和异常声响</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制动器各销轴部位</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动作灵活</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制动器间隙</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打开时制动衬与制动轮不应发生摩擦，间隙值符合制造单位要求</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制动器作为轿厢意外移动保护装置制停子系统时的自监测</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制动力人工方式检测符合使用维护说明书要求；制动力自监测系统有记录</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编码器</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清洁，安装牢固</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8</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限速器各销轴部位</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润滑，转动灵活；电气开关正常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9</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层门和轿门旁路装置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10</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紧急电动运行</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11</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轿顶</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清洁，防护栏安全可靠</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12</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轿顶检修开关、停止装置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13</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导靴上油杯</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吸油毛毡齐全，油量适宜，油杯无泄漏</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14</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对重/平衡重块及其压板</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对重/平衡重块无松动，压板紧固</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15</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井道照明</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齐全、正常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16</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轿厢照明、风扇、应急照明</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17</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轿厢检修开关、停止装置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18</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轿内报警装置、对讲系统</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19</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轿内显示、指令按钮、IC卡系统</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齐全、有效</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20</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轿门防撞击保护装置（安全触板，光幕、光电等）</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功能有效</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21</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轿门门锁电气触点</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清洁,触点接触良好，接线可靠</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22</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轿门运行</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开启和关闭工作正常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23</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轿厢平层准确度</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符合标准值</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24</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层站召唤、层楼显示</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齐全、有效</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25</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层门地坎</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26</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层门自动关门装置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正常</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27</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层门门锁自动复位</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用层门钥匙打开手动开锁装置释放后，层门门锁能自动复位</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28</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层门门锁电气触点</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清洁，触点接触良好，接线可靠</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29</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层门锁紧元件啮合长度</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不小于7mm</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30</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底坑环境</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清洁，无渗水、积水，照明正常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31</w:t>
            </w:r>
          </w:p>
        </w:tc>
        <w:tc>
          <w:tcPr>
            <w:tcW w:w="3923" w:type="dxa"/>
            <w:tcBorders>
              <w:top w:val="single" w:sz="4" w:space="0" w:color="auto"/>
              <w:left w:val="nil"/>
              <w:bottom w:val="single" w:sz="4" w:space="0" w:color="auto"/>
              <w:right w:val="single" w:sz="4" w:space="0" w:color="auto"/>
            </w:tcBorders>
            <w:shd w:val="clear" w:color="auto" w:fill="auto"/>
            <w:vAlign w:val="center"/>
          </w:tcPr>
          <w:p>
            <w:pPr>
              <w:widowControl/>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底坑停止装置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减速机润滑油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油量适宜，除蜗杆伸出端外均无渗漏</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制动衬</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编码器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选层器动静触点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清洁，无烧蚀</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曳引轮槽、悬挂装置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清洁，钢丝绳无严重油腻，张力均匀，符合制造单位要求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限速器轮槽、限速器钢丝绳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清洁，无严重油腻</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靴衬、滚轮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清洁，磨损量不超过制造单位要求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39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验证轿门关闭的电气安全装置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层门、轿门系统中传动钢丝绳、链条、传动带</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按照制造单位要求进行清洁、调整</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层门门导靴</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消防开关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工作正常，功能有效</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耗能缓冲器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电气安全装置功能有效，油量适宜，柱塞无锈蚀</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限速器张紧轮装置和电气安全装置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电动机与减速机联轴器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连接无松动，弹性元件外观良好，无老化等现象</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驱动轮、导向轮轴承部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无异常声响，无振动，润滑良好</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曳引轮槽</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制动器动作状态监测装置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工作正常，制动器动作可靠</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49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控制柜内各接线端子</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各接线紧固、整齐，线号齐全清晰</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控制柜各仪表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显示正常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井道、对重、轿顶各反绳轮轴承部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无异常声，无振动，润滑良好</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悬挂装置、补偿绳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磨损量、断丝数不超过要求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绳头组合</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螺母无松动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限速器钢丝绳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磨损量、断丝数不超过制造单位要求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层门、轿门门扇</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门扇各相关间隙符合标准值</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轿门开门限制装置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对重缓冲距离</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符合标准值</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补偿链（绳）与轿厢、对重接合处</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固定、无松动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59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上、下极限开关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减速机润滑油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按照制造单位要求适时更换，保证油质符合要求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控制柜接触器，继电器触点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接触良好</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制动器铁芯（柱塞）</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进行清洁、润滑、检查，磨损量不超过制造单位要求</w:t>
            </w:r>
          </w:p>
        </w:tc>
      </w:tr>
      <w:tr>
        <w:trPr>
          <w:trHeight w:hRule="exact" w:val="385"/>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制动器制动能力</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符合制造单位要求，保持有足够的制动力，必要时进行轿厢装载125%额定载重量的制动试验</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导电回路绝缘性能测试</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符合标准</w:t>
            </w:r>
          </w:p>
        </w:tc>
      </w:tr>
      <w:tr>
        <w:trPr>
          <w:trHeight w:hRule="exact" w:val="507"/>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限速器安全钳联动试验（对于使用年限不超过15年的限速器，每2年进行一次限速器动作速度校验；对于使用年限超过15年的限速器，每年进行一次限速器动作速度校验）</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上行超速保护装置动作试验</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轿厢意外移动保护装置动作试验</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轿顶、轿厢架、轿门及其附件安装螺栓</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紧固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69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轿厢和对重/平衡重的导轨支架</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固定，无松动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轿厢和对重/平衡重的导轨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清洁，压板牢固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随行电缆</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无损伤</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层门装置和地坎</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无影响正常使用的变形，各安装螺栓紧固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轿厢称重装置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准确有效</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安全钳钳座</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固定，无松动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轿底各安装螺栓</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紧固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76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6"/>
                <w:szCs w:val="16"/>
                <w:highlight w:val="auto"/>
              </w:rPr>
            </w:pPr>
            <w:r>
              <w:rPr>
                <w:rFonts w:ascii="宋体" w:cs="宋体" w:hint="eastAsia"/>
                <w:color w:val="auto"/>
                <w:spacing w:val="-6"/>
                <w:kern w:val="0"/>
                <w:sz w:val="16"/>
                <w:szCs w:val="16"/>
                <w:highlight w:val="auto"/>
              </w:rPr>
              <w:t>缓冲器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6"/>
                <w:szCs w:val="16"/>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6"/>
                <w:szCs w:val="16"/>
                <w:highlight w:val="auto"/>
              </w:rPr>
            </w:pPr>
            <w:r>
              <w:rPr>
                <w:rFonts w:ascii="宋体" w:cs="宋体" w:hint="eastAsia"/>
                <w:color w:val="auto"/>
                <w:spacing w:val="-6"/>
                <w:kern w:val="0"/>
                <w:sz w:val="16"/>
                <w:szCs w:val="16"/>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6"/>
                <w:szCs w:val="16"/>
                <w:highlight w:val="auto"/>
              </w:rPr>
            </w:pPr>
            <w:r>
              <w:rPr>
                <w:rFonts w:ascii="宋体" w:hint="eastAsia"/>
                <w:color w:val="auto"/>
                <w:spacing w:val="-6"/>
                <w:sz w:val="16"/>
                <w:szCs w:val="16"/>
                <w:highlight w:val="auto"/>
              </w:rPr>
              <w:t>固定，无松动</w:t>
            </w:r>
          </w:p>
        </w:tc>
      </w:tr>
    </w:tbl>
    <w:p>
      <w:pPr>
        <w:rPr>
          <w:b/>
          <w:color w:val="auto"/>
          <w:sz w:val="22"/>
          <w:szCs w:val="22"/>
          <w:highlight w:val="auto"/>
        </w:rPr>
      </w:pPr>
      <w:r>
        <w:rPr>
          <w:rFonts w:hint="eastAsia"/>
          <w:b/>
          <w:color w:val="auto"/>
          <w:sz w:val="22"/>
          <w:szCs w:val="22"/>
          <w:highlight w:val="auto"/>
        </w:rPr>
        <w:t>电梯维护保养总要求：</w:t>
      </w:r>
    </w:p>
    <w:p>
      <w:pPr>
        <w:numPr>
          <w:ilvl w:val="0"/>
          <w:numId w:val="3"/>
        </w:numPr>
        <w:rPr>
          <w:b/>
          <w:color w:val="auto"/>
          <w:sz w:val="22"/>
          <w:szCs w:val="22"/>
          <w:highlight w:val="auto"/>
        </w:rPr>
      </w:pPr>
      <w:r>
        <w:rPr>
          <w:rFonts w:hint="eastAsia"/>
          <w:b/>
          <w:color w:val="auto"/>
          <w:sz w:val="22"/>
          <w:szCs w:val="22"/>
          <w:highlight w:val="auto"/>
        </w:rPr>
        <w:t>按基于国标要求且高于国标要求的企业标准进行保养作业。</w:t>
      </w:r>
    </w:p>
    <w:p>
      <w:pPr>
        <w:numPr>
          <w:ilvl w:val="0"/>
          <w:numId w:val="3"/>
        </w:numPr>
        <w:rPr>
          <w:b/>
          <w:color w:val="auto"/>
          <w:sz w:val="22"/>
          <w:szCs w:val="22"/>
          <w:highlight w:val="auto"/>
        </w:rPr>
      </w:pPr>
      <w:r>
        <w:rPr>
          <w:rFonts w:hint="eastAsia"/>
          <w:b/>
          <w:color w:val="auto"/>
          <w:sz w:val="22"/>
          <w:szCs w:val="22"/>
          <w:highlight w:val="auto"/>
        </w:rPr>
        <w:t>按规定要求编制电梯维护保养计划表。</w:t>
      </w:r>
    </w:p>
    <w:p>
      <w:pPr>
        <w:numPr>
          <w:ilvl w:val="0"/>
          <w:numId w:val="3"/>
        </w:numPr>
        <w:rPr>
          <w:b/>
          <w:color w:val="auto"/>
          <w:sz w:val="22"/>
          <w:szCs w:val="22"/>
          <w:highlight w:val="auto"/>
        </w:rPr>
      </w:pPr>
      <w:r>
        <w:rPr>
          <w:rFonts w:hint="eastAsia"/>
          <w:b/>
          <w:color w:val="auto"/>
          <w:sz w:val="22"/>
          <w:szCs w:val="22"/>
          <w:highlight w:val="auto"/>
        </w:rPr>
        <w:t>协助电梯使用单位编制电梯技术档案及日常使用管理要求。</w:t>
      </w:r>
    </w:p>
    <w:p>
      <w:pPr>
        <w:pStyle w:val="15"/>
        <w:rPr>
          <w:color w:val="auto"/>
          <w:highlight w:val="auto"/>
        </w:rPr>
      </w:pPr>
    </w:p>
    <w:p>
      <w:pPr>
        <w:kinsoku w:val="0"/>
        <w:autoSpaceDE w:val="0"/>
        <w:autoSpaceDN w:val="0"/>
        <w:adjustRightInd w:val="0"/>
        <w:snapToGrid w:val="0"/>
        <w:spacing w:line="360" w:lineRule="auto"/>
        <w:ind w:right="135" w:firstLine="459"/>
        <w:textAlignment w:val="baseline"/>
        <w:rPr>
          <w:rFonts w:ascii="宋体" w:cs="宋体" w:hint="eastAsia"/>
          <w:color w:val="auto"/>
          <w:spacing w:val="5"/>
          <w:sz w:val="24"/>
          <w:szCs w:val="24"/>
          <w:highlight w:val="auto"/>
        </w:rPr>
        <w:sectPr>
          <w:pgSz w:w="11906" w:h="16839"/>
          <w:pgMar w:top="1009" w:right="1310" w:bottom="1043" w:left="1307" w:header="0" w:footer="994" w:gutter="0"/>
          <w:docGrid w:linePitch="312" w:charSpace="0"/>
        </w:sectPr>
      </w:pPr>
      <w:r>
        <w:rPr>
          <w:rFonts w:ascii="宋体" w:cs="宋体" w:hint="eastAsia"/>
          <w:b/>
          <w:bCs/>
          <w:color w:val="auto"/>
          <w:spacing w:val="5"/>
          <w:sz w:val="24"/>
          <w:szCs w:val="24"/>
          <w:highlight w:val="auto"/>
        </w:rPr>
        <w:t>投标人须完全响应本项目</w:t>
      </w:r>
      <w:r>
        <w:rPr>
          <w:rFonts w:ascii="宋体" w:cs="宋体" w:hint="eastAsia"/>
          <w:b/>
          <w:bCs/>
          <w:color w:val="auto"/>
          <w:sz w:val="24"/>
          <w:szCs w:val="24"/>
          <w:highlight w:val="auto"/>
        </w:rPr>
        <w:t>商务条款，否则作无效投标处理。</w:t>
      </w:r>
    </w:p>
    <w:p>
      <w:pPr>
        <w:rPr>
          <w:rFonts w:eastAsia="宋体"/>
          <w:lang w:val="en-US" w:eastAsia="zh-CN"/>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200247B" w:usb2="00000009" w:usb3="00000000" w:csb0="2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1"/>
    <w:family w:val="swiss"/>
    <w:pitch w:val="variable"/>
    <w:sig w:usb0="E0002EFF" w:usb1="C000785B" w:usb2="00000009" w:usb3="00000000" w:csb0="400001FF" w:csb1="FFFF0000"/>
  </w:font>
  <w:font w:name="Cambria Math">
    <w:panose1 w:val="02040503050406030204"/>
    <w:charset w:val="00"/>
    <w:family w:val="roman"/>
    <w:pitch w:val="variable"/>
    <w:sig w:usb0="E00006FF" w:usb1="420024FF" w:usb2="02000000" w:usb3="00000000" w:csb0="2000019F" w:csb1="00000000"/>
  </w:font>
  <w:font w:name="PMingLiU">
    <w:altName w:val="Microsoft JhengHei UI"/>
    <w:panose1 w:val="02010601000101010101"/>
    <w:charset w:val="88"/>
    <w:family w:val="roman"/>
    <w:pitch w:val="variable"/>
    <w:sig w:usb0="00000000" w:usb1="00000000" w:usb2="00000016" w:usb3="00000000" w:csb0="00100001" w:csb1="00000000"/>
  </w:font>
  <w:font w:name="Times New Roman">
    <w:panose1 w:val="02020603050405020304"/>
    <w:charset w:val="00"/>
    <w:family w:val="roman"/>
    <w:pitch w:val="variable"/>
    <w:sig w:usb0="20007A87" w:usb1="80000000" w:usb2="00000008" w:usb3="00000000" w:csb0="000001FF" w:csb1="00000000"/>
  </w:font>
  <w:font w:name="黑体">
    <w:panose1 w:val="02010609060101010101"/>
    <w:charset w:val="86"/>
    <w:family w:val="auto"/>
    <w:pitch w:val="variable"/>
    <w:sig w:usb0="800002BF" w:usb1="38CF7CFA" w:usb2="00000016" w:usb3="00000000" w:csb0="00040001" w:csb1="00000000"/>
  </w:font>
  <w:font w:name="Calibri Light">
    <w:panose1 w:val="020F0302020204030204"/>
    <w:charset w:val="00"/>
    <w:family w:val="auto"/>
    <w:pitch w:val="variable"/>
    <w:sig w:usb0="E4002EFF" w:usb1="C200247B" w:usb2="00000009" w:usb3="00000000" w:csb0="2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tabs>
        <w:tab w:val="center" w:pos="4153"/>
        <w:tab w:val="right" w:pos="8306"/>
      </w:tabs>
    </w:pPr>
    <w:r>
      <mc:AlternateContent>
        <mc:Choice Requires="wps">
          <w:drawing>
            <wp:anchor distT="0" distB="0" distL="114298" distR="114298" simplePos="0" relativeHeight="10"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950" cy="139674"/>
                      </a:xfrm>
                      <a:prstGeom prst="rect"/>
                      <a:noFill/>
                      <a:ln w="9525" cmpd="sng" cap="flat">
                        <a:noFill/>
                        <a:prstDash val="solid"/>
                        <a:round/>
                      </a:ln>
                    </wps:spPr>
                    <wps:txbx id="2">
                      <w:txbxContent>
                        <w:p>
                          <w:pPr>
                            <w:pStyle w:val="18"/>
                            <w:tabs>
                              <w:tab w:val="center" w:pos="4153"/>
                              <w:tab w:val="right" w:pos="8306"/>
                            </w:tabs>
                          </w:pPr>
                          <w:r>
                            <w:fldChar w:fldCharType="begin"/>
                          </w:r>
                          <w:r>
                            <w:instrText xml:space="preserve"> PAGE  \* MERGEFORMAT </w:instrText>
                          </w:r>
                          <w:r>
                            <w:fldChar w:fldCharType="separate"/>
                          </w:r>
                          <w:r>
                            <w:t>57</w:t>
                          </w:r>
                          <w:r>
                            <w:fldChar w:fldCharType="end"/>
                          </w:r>
                        </w:p>
                      </w:txbxContent>
                    </wps:txbx>
                    <wps:bodyPr vert="horz" wrap="none" lIns="0" tIns="0" rIns="0" bIns="0" anchor="t" anchorCtr="0" upright="0">
                      <a:spAutoFit/>
                    </wps:bodyPr>
                  </wps:wsp>
                </a:graphicData>
              </a:graphic>
            </wp:anchor>
          </w:drawing>
        </mc:Choice>
        <mc:Fallback>
          <w:pict>
            <v:rect type="#_x0000_t1" id="文本框 1 3" o:spid="_x0000_s3" filled="f" stroked="f" style="position:absolute;margin-left:0.0pt;margin-top:0.0pt;width:4.56301pt;height:10.997971pt;z-index:1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8"/>
                      <w:tabs>
                        <w:tab w:val="center" w:pos="4153"/>
                        <w:tab w:val="right" w:pos="8306"/>
                      </w:tabs>
                    </w:pPr>
                    <w:r>
                      <w:fldChar w:fldCharType="begin"/>
                    </w:r>
                    <w:r>
                      <w:instrText xml:space="preserve"> PAGE  \* MERGEFORMAT </w:instrText>
                    </w:r>
                    <w:r>
                      <w:fldChar w:fldCharType="separate"/>
                    </w:r>
                    <w:r>
                      <w:t>57</w:t>
                    </w:r>
                    <w:r>
                      <w:fldChar w:fldCharType="end"/>
                    </w:r>
                  </w:p>
                </w:txbxContent>
              </v:textbox>
            </v:rect>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spacing w:line="106" w:lineRule="auto"/>
      <w:rPr>
        <w:sz w:val="2"/>
        <w:u w:val="single"/>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1B46880"/>
    <w:multiLevelType w:val="singleLevel"/>
    <w:tmpl w:val="51B46880"/>
    <w:lvl w:ilvl="0">
      <w:start w:val="2"/>
      <w:numFmt w:val="decimal"/>
      <w:lvlRestart w:val="0"/>
      <w:suff w:val="nothing"/>
      <w:lvlText w:val="%1）"/>
      <w:lvlJc w:val="left"/>
      <w:pPr>
        <w:ind w:left="0" w:hanging="0"/>
      </w:pPr>
    </w:lvl>
  </w:abstractNum>
  <w:abstractNum w:abstractNumId="1">
    <w:nsid w:val="F5D24EA0"/>
    <w:multiLevelType w:val="singleLevel"/>
    <w:tmpl w:val="F5D24EA0"/>
    <w:lvl w:ilvl="0">
      <w:start w:val="1"/>
      <w:numFmt w:val="decimal"/>
      <w:lvlRestart w:val="0"/>
      <w:suff w:val="nothing"/>
      <w:lvlText w:val="%1、"/>
      <w:lvlJc w:val="left"/>
      <w:pPr>
        <w:ind w:left="210" w:hanging="210"/>
      </w:pPr>
      <w:rPr>
        <w:rFonts w:ascii="仿宋" w:hAnsi="仿宋" w:eastAsia="仿宋" w:cs="仿宋" w:hint="default"/>
      </w:rPr>
    </w:lvl>
  </w:abstractNum>
  <w:abstractNum w:abstractNumId="2">
    <w:nsid w:val="727078D3"/>
    <w:multiLevelType w:val="singleLevel"/>
    <w:tmpl w:val="727078D3"/>
    <w:lvl w:ilvl="0">
      <w:start w:val="1"/>
      <w:numFmt w:val="decimal"/>
      <w:lvlRestart w:val="0"/>
      <w:lvlText w:val="%1."/>
      <w:lvlJc w:val="left"/>
      <w:pPr>
        <w:ind w:left="0" w:hanging="0"/>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keepNext/>
      <w:keepLines/>
      <w:widowControl w:val="0"/>
      <w:spacing w:before="260" w:after="260" w:line="413" w:lineRule="auto"/>
      <w:outlineLvl w:val="1"/>
    </w:pPr>
    <w:rPr>
      <w:rFonts w:ascii="Arial" w:eastAsia="黑体" w:hAnsi="Arial"/>
      <w:b/>
      <w:bCs/>
      <w:sz w:val="32"/>
      <w:szCs w:val="32"/>
    </w:rPr>
  </w:style>
  <w:style w:type="paragraph" w:styleId="4">
    <w:name w:val="heading 4"/>
    <w:basedOn w:val="0"/>
    <w:next w:val="0"/>
    <w:pPr>
      <w:keepNext/>
      <w:keepLines/>
      <w:widowControl w:val="0"/>
      <w:spacing w:before="280" w:after="290" w:line="377" w:lineRule="auto"/>
      <w:outlineLvl w:val="3"/>
    </w:pPr>
    <w:rPr>
      <w:rFonts w:ascii="Calibri Light" w:eastAsia="宋体" w:cs="Times New Roman" w:hAnsi="Calibri Light"/>
      <w:b/>
      <w:bCs/>
      <w:sz w:val="28"/>
      <w:szCs w:val="28"/>
    </w:rPr>
  </w:style>
  <w:style w:type="character" w:default="1" w:styleId="10">
    <w:name w:val="Default Paragraph Font"/>
  </w:style>
  <w:style w:type="paragraph" w:styleId="15">
    <w:name w:val="Body Text"/>
    <w:basedOn w:val="0"/>
    <w:next w:val="0"/>
    <w:pPr>
      <w:spacing w:after="120"/>
    </w:pPr>
  </w:style>
  <w:style w:type="paragraph" w:styleId="16">
    <w:name w:val="annotation text"/>
    <w:basedOn w:val="0"/>
    <w:pPr>
      <w:jc w:val="left"/>
    </w:pPr>
  </w:style>
  <w:style w:type="paragraph" w:styleId="17">
    <w:name w:val="Plain Text"/>
    <w:basedOn w:val="0"/>
    <w:next w:val="0"/>
    <w:rPr>
      <w:rFonts w:ascii="宋体"/>
      <w:szCs w:val="22"/>
    </w:rPr>
  </w:style>
  <w:style w:type="paragraph" w:styleId="18">
    <w:name w:val="footer"/>
    <w:basedOn w:val="0"/>
    <w:pPr>
      <w:tabs>
        <w:tab w:val="center" w:pos="4153"/>
        <w:tab w:val="right" w:pos="8306"/>
      </w:tabs>
      <w:snapToGrid w:val="0"/>
      <w:jc w:val="left"/>
    </w:pPr>
    <w:rPr>
      <w:sz w:val="18"/>
    </w:rPr>
  </w:style>
  <w:style w:type="paragraph" w:customStyle="1" w:styleId="19">
    <w:name w:val="BodyText1I2"/>
    <w:basedOn w:val="0"/>
    <w:autoRedefine/>
    <w:pPr>
      <w:spacing w:line="360" w:lineRule="auto"/>
      <w:ind w:firstLineChars="200" w:firstLine="200"/>
      <w:textAlignment w:val="baseline"/>
    </w:pPr>
    <w:rPr>
      <w:rFonts w:eastAsia="仿宋"/>
      <w:sz w:val="28"/>
    </w:rPr>
  </w:style>
  <w:style w:type="paragraph" w:customStyle="1" w:styleId="20">
    <w:name w:val="正文 A"/>
    <w:autoRedefine/>
    <w:pPr>
      <w:widowControl w:val="0"/>
      <w:jc w:val="both"/>
    </w:pPr>
    <w:rPr>
      <w:rFonts w:ascii="Times New Roman" w:eastAsia="Times New Roman" w:cs="Times New Roman" w:hAnsi="Times New Roman"/>
      <w:color w:val="000000"/>
      <w:kern w:val="2"/>
      <w:sz w:val="21"/>
      <w:szCs w:val="21"/>
      <w:u w:color="000000"/>
      <w:lang w:val="en-US" w:eastAsia="zh-CN" w:bidi="ar-SA"/>
    </w:rPr>
  </w:style>
  <w:style w:type="character" w:customStyle="1" w:styleId="21">
    <w:name w:val="无"/>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11</Pages>
  <Words>5649</Words>
  <Characters>6239</Characters>
  <Lines>826</Lines>
  <Paragraphs>609</Paragraphs>
  <CharactersWithSpaces>6292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1</dc:creator>
  <cp:lastModifiedBy>彭麒</cp:lastModifiedBy>
  <cp:revision>1</cp:revision>
  <dcterms:created xsi:type="dcterms:W3CDTF">2025-10-21T07:32:00Z</dcterms:created>
  <dcterms:modified xsi:type="dcterms:W3CDTF">2025-10-21T08:40:48Z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2052-12.8.2.18913</vt:lpwstr>
  </property>
  <property fmtid="{D5CDD505-2E9C-101B-9397-08002B2CF9AE}" pid="3" name="ICV">
    <vt:lpwstr>AF3E7A5C401D4C4A86961068B4901971_11</vt:lpwstr>
  </property>
</Properties>
</file>