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eastAsia="仿宋" w:cs="仿宋" w:hint="eastAsia"/>
          <w:kern w:val="2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  <w:r>
        <w:rPr>
          <w:rFonts w:ascii="仿宋" w:eastAsia="仿宋" w:cs="仿宋" w:hint="eastAsia"/>
          <w:kern w:val="2"/>
          <w:sz w:val="28"/>
          <w:szCs w:val="28"/>
        </w:rPr>
        <w:t>沈阳海关电子口岸系统接口升级改造服务项目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  <w:r>
        <w:rPr>
          <w:rFonts w:ascii="仿宋" w:cs="仿宋"/>
          <w:sz w:val="28"/>
          <w:szCs w:val="28"/>
        </w:rPr>
        <w:t>2025-MH-013</w:t>
      </w:r>
    </w:p>
    <w:p>
      <w:pPr>
        <w:rPr>
          <w:rFonts w:ascii="仿宋" w:cs="仿宋"/>
          <w:color w:val="FFFFFF"/>
          <w:sz w:val="28"/>
          <w:szCs w:val="28"/>
          <w:shd w:val="solid" w:color="FFFFFF" w:fill="FFFFFF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0" w:name="_Toc16924_WPSOffice_Level2"/>
      <w:bookmarkStart w:id="1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0"/>
      <w:bookmarkEnd w:id="1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2" w:name="_Toc122_WPSOffice_Level2"/>
      <w:bookmarkStart w:id="3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2"/>
      <w:bookmarkEnd w:id="3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传        真：      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4" w:name="_Toc23728_WPSOffice_Level2"/>
      <w:bookmarkStart w:id="5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4"/>
      <w:bookmarkEnd w:id="5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6" w:name="_Toc28831_WPSOffice_Level2"/>
      <w:bookmarkStart w:id="7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6"/>
      <w:bookmarkEnd w:id="7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8" w:name="_Toc11967_WPSOffice_Level2"/>
      <w:bookmarkStart w:id="9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8"/>
      <w:bookmarkEnd w:id="9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  <w:u w:val="single"/>
        </w:rPr>
        <w:t xml:space="preserve">（采购人或采购代理机构名称） 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150" w:firstLine="31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  <w:shd w:val="solid" w:color="FFFFFF" w:fill="FFFFFF"/>
        </w:rPr>
        <w:t xml:space="preserve">2025-MH-013  </w:t>
      </w:r>
      <w:r>
        <w:rPr>
          <w:rFonts w:ascii="仿宋" w:cs="仿宋"/>
          <w:b/>
          <w:bCs/>
          <w:color w:val="000000"/>
          <w:szCs w:val="21"/>
          <w:shd w:val="solid" w:color="FFFFFF" w:fill="FFFFFF"/>
        </w:rPr>
        <w:t xml:space="preserve"> </w:t>
      </w:r>
      <w:r>
        <w:rPr>
          <w:rFonts w:ascii="仿宋" w:cs="仿宋"/>
          <w:b/>
          <w:bCs/>
          <w:szCs w:val="21"/>
        </w:rPr>
        <w:t xml:space="preserve">    </w:t>
      </w:r>
      <w:r>
        <w:rPr>
          <w:rFonts w:ascii="仿宋" w:cs="仿宋" w:hint="eastAsia"/>
          <w:b/>
          <w:bCs/>
          <w:szCs w:val="21"/>
        </w:rPr>
        <w:t xml:space="preserve"> 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763"/>
        <w:gridCol w:w="2153"/>
      </w:tblGrid>
      <w:tr>
        <w:trPr>
          <w:trHeight w:val="827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2611" w:type="dxa"/>
            <w:vAlign w:val="center"/>
          </w:tcPr>
          <w:p>
            <w:pPr>
              <w:pStyle w:val="273"/>
              <w:widowControl w:val="0"/>
              <w:adjustRightInd w:val="0"/>
              <w:snapToGrid w:val="0"/>
              <w:spacing w:before="0" w:beforeAutospacing="0" w:after="0" w:afterAutospacing="0"/>
              <w:ind w:left="105" w:hangingChars="50" w:hanging="105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沈阳海关电子口岸系统</w:t>
            </w:r>
          </w:p>
          <w:p>
            <w:pPr>
              <w:pStyle w:val="273"/>
              <w:widowControl w:val="0"/>
              <w:adjustRightInd w:val="0"/>
              <w:snapToGrid w:val="0"/>
              <w:spacing w:before="0" w:beforeAutospacing="0" w:after="0" w:afterAutospacing="0"/>
              <w:ind w:left="105" w:hangingChars="50" w:hanging="105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bookmarkStart w:id="10" w:name="_GoBack"/>
            <w:bookmarkEnd w:id="10"/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接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>口升级改造服务项目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adjustRightInd w:val="0"/>
        <w:snapToGrid w:val="0"/>
        <w:spacing w:beforeLines="100" w:before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服务需求响应</w:t>
      </w:r>
      <w:r>
        <w:rPr>
          <w:rFonts w:ascii="仿宋" w:cs="仿宋" w:hint="eastAsia"/>
          <w:b/>
          <w:bCs/>
          <w:sz w:val="32"/>
          <w:szCs w:val="32"/>
        </w:rPr>
        <w:t>表</w:t>
      </w:r>
    </w:p>
    <w:tbl>
      <w:tblPr>
        <w:jc w:val="left"/>
        <w:tblInd w:w="0" w:type="dxa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2307"/>
        <w:gridCol w:w="847"/>
        <w:gridCol w:w="737"/>
        <w:gridCol w:w="711"/>
      </w:tblGrid>
      <w:tr>
        <w:trPr>
          <w:trHeight w:val="1230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沈阳海关电子口岸系统接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>口升级改造服务项目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项目编号： 2025-MH-013</w:t>
            </w:r>
          </w:p>
        </w:tc>
      </w:tr>
      <w:tr>
        <w:trPr>
          <w:trHeight w:val="129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招标文件要求</w:t>
            </w:r>
          </w:p>
          <w:p>
            <w:pPr>
              <w:ind w:left="0" w:hanging="1"/>
              <w:rPr>
                <w:rFonts w:ascii="仿宋" w:cs="仿宋"/>
                <w:b/>
                <w:szCs w:val="21"/>
              </w:rPr>
            </w:pPr>
            <w:r>
              <w:rPr>
                <w:rFonts w:ascii="仿宋" w:cs="仿宋" w:hint="eastAsia"/>
                <w:b/>
                <w:szCs w:val="21"/>
              </w:rPr>
              <w:t>重要提示：</w:t>
            </w:r>
            <w:r>
              <w:rPr>
                <w:rFonts w:ascii="仿宋" w:cs="仿宋"/>
                <w:b/>
                <w:szCs w:val="21"/>
              </w:rPr>
              <w:t>招标文件中的每一项要求均为</w:t>
            </w:r>
            <w:r>
              <w:rPr>
                <w:rFonts w:ascii="仿宋" w:cs="仿宋" w:hint="eastAsia"/>
                <w:b/>
                <w:szCs w:val="21"/>
              </w:rPr>
              <w:t>实质性要求不得负偏离，如果负偏离，则投标文件无效。</w:t>
            </w:r>
            <w:r>
              <w:rPr>
                <w:rFonts w:ascii="仿宋" w:cs="仿宋"/>
                <w:b/>
                <w:szCs w:val="21"/>
              </w:rPr>
              <w:t>且</w:t>
            </w:r>
            <w:r>
              <w:rPr>
                <w:rFonts w:ascii="仿宋" w:cs="仿宋" w:hint="eastAsia"/>
                <w:b/>
                <w:szCs w:val="21"/>
              </w:rPr>
              <w:t>★标注项</w:t>
            </w:r>
            <w:r>
              <w:rPr>
                <w:rFonts w:ascii="仿宋" w:cs="仿宋"/>
                <w:b/>
                <w:szCs w:val="21"/>
              </w:rPr>
              <w:t>必须提供证明材料。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投标文件</w:t>
            </w:r>
          </w:p>
          <w:p>
            <w:pPr>
              <w:jc w:val="center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响应内容</w:t>
            </w:r>
          </w:p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/>
                <w:szCs w:val="21"/>
                <w:lang w:eastAsia="zh-CN"/>
              </w:rPr>
              <w:t>（</w:t>
            </w:r>
            <w:r>
              <w:rPr>
                <w:rFonts w:ascii="仿宋" w:hint="eastAsia"/>
                <w:szCs w:val="21"/>
                <w:lang w:eastAsia="zh-CN"/>
              </w:rPr>
              <w:t>注：投标人</w:t>
            </w:r>
            <w:r>
              <w:rPr>
                <w:rFonts w:ascii="仿宋" w:hint="eastAsia"/>
                <w:szCs w:val="21"/>
              </w:rPr>
              <w:t>根据</w:t>
            </w:r>
            <w:r>
              <w:rPr>
                <w:rFonts w:ascii="仿宋"/>
                <w:szCs w:val="21"/>
                <w:lang w:eastAsia="zh-CN"/>
              </w:rPr>
              <w:t>服务</w:t>
            </w:r>
            <w:r>
              <w:rPr>
                <w:rFonts w:ascii="仿宋" w:hint="eastAsia"/>
                <w:szCs w:val="21"/>
              </w:rPr>
              <w:t>需求</w:t>
            </w:r>
            <w:r>
              <w:rPr>
                <w:rFonts w:ascii="仿宋" w:hint="eastAsia"/>
                <w:szCs w:val="21"/>
                <w:lang w:eastAsia="zh-CN"/>
              </w:rPr>
              <w:t>逐项响应</w:t>
            </w:r>
            <w:r>
              <w:rPr>
                <w:rFonts w:ascii="仿宋"/>
                <w:szCs w:val="21"/>
                <w:lang w:eastAsia="zh-CN"/>
              </w:rPr>
              <w:t>）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   程度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偏离说明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证明材料</w:t>
            </w:r>
          </w:p>
        </w:tc>
      </w:tr>
      <w:tr>
        <w:trPr>
          <w:trHeight w:val="518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left"/>
              <w:rPr>
                <w:rFonts w:ascii="仿宋"/>
                <w:szCs w:val="21"/>
              </w:rPr>
            </w:pPr>
            <w:r>
              <w:rPr>
                <w:rFonts w:ascii="仿宋"/>
                <w:szCs w:val="21"/>
              </w:rPr>
              <w:t>一、项目内容</w:t>
            </w:r>
          </w:p>
        </w:tc>
      </w:tr>
      <w:tr>
        <w:trPr>
          <w:trHeight w:val="1331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cs="仿宋"/>
                <w:bCs/>
                <w:szCs w:val="21"/>
                <w:lang w:val="en-US"/>
              </w:rPr>
            </w:pPr>
            <w:r>
              <w:rPr>
                <w:rFonts w:ascii="仿宋" w:cs="仿宋"/>
                <w:bCs/>
                <w:szCs w:val="21"/>
                <w:lang w:val="en-US"/>
              </w:rPr>
              <w:t>（一）实现报关管理接口数据对接。</w:t>
            </w:r>
          </w:p>
          <w:p>
            <w:pPr>
              <w:rPr>
                <w:rFonts w:ascii="仿宋" w:cs="仿宋" w:hint="eastAsia"/>
                <w:szCs w:val="21"/>
              </w:rPr>
            </w:pPr>
            <w:r>
              <w:rPr>
                <w:rFonts w:ascii="仿宋" w:cs="仿宋"/>
                <w:bCs/>
                <w:szCs w:val="21"/>
                <w:lang w:val="en-US"/>
              </w:rPr>
              <w:t>接口满足报关单状态查询，可进行货物申报信息新增数据对接，包括基本信息和进出口报关单信息，查询报关单状态，根据场所、提运单号、时间等条件综合查询，展示报关单号、运输工具、合同协议号、报关单状态、操作时间等信息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eastAsia="仿宋" w:cs="仿宋" w:hint="eastAsia"/>
                <w:kern w:val="0"/>
                <w:szCs w:val="21"/>
                <w:lang w:eastAsia="zh-C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1331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cs="仿宋"/>
                <w:bCs/>
                <w:szCs w:val="21"/>
                <w:lang w:val="en-US"/>
              </w:rPr>
            </w:pPr>
            <w:r>
              <w:rPr>
                <w:rFonts w:ascii="仿宋" w:cs="仿宋"/>
                <w:bCs/>
                <w:szCs w:val="21"/>
                <w:lang w:val="en-US"/>
              </w:rPr>
              <w:t>（二）实现查验管理接口数据对接。</w:t>
            </w:r>
          </w:p>
          <w:p>
            <w:pPr>
              <w:rPr>
                <w:rFonts w:ascii="仿宋" w:cs="仿宋" w:hint="eastAsia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  <w:lang w:val="en-US"/>
              </w:rPr>
              <w:t>接口满足查验信息查询，查询查验信息，根据唯一ID、企业名称、报关单号、舱单号等条件综合查询，展示查验关区、业务唯一ID、细化指令编号、通知类型、企业名称、报关单号、舱单号、提运单号、运输工具、查验方式、检查类型等信息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cs="仿宋" w:hint="eastAsia"/>
                <w:szCs w:val="21"/>
                <w:lang w:eastAsia="zh-C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 w:hint="eastAsia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 w:hint="eastAsia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 w:hint="eastAsia"/>
                <w:szCs w:val="21"/>
              </w:rPr>
            </w:pPr>
          </w:p>
        </w:tc>
      </w:tr>
      <w:tr>
        <w:trPr>
          <w:trHeight w:val="467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（三）实现WebService数据对接。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1.协议对接。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根据海关总署提供的接口文件，配置并连接原有的WebService接口。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2.数据抓取。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实现调用WebService所需的认证逻辑、调度程序，按预设频率或触发条件主动调用报关信息和查验信息等WebService方法。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3.数据解析与清洗。</w:t>
            </w:r>
          </w:p>
          <w:p>
            <w:pPr>
              <w:rPr>
                <w:rFonts w:ascii="仿宋" w:cs="仿宋"/>
                <w:szCs w:val="21"/>
                <w:lang w:eastAsia="zh-CN"/>
              </w:rPr>
            </w:pPr>
            <w:r>
              <w:rPr>
                <w:rFonts w:ascii="仿宋" w:cs="仿宋"/>
                <w:bCs/>
                <w:szCs w:val="21"/>
              </w:rPr>
              <w:t>对WebService返回的XML格式数据进行解析、校验和清洗，转换为系统内部定义的标准化JSON数据模型，确保数据的完整性和准确性。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cs="仿宋"/>
                <w:szCs w:val="21"/>
                <w:lang w:eastAsia="zh-C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</w:tr>
      <w:tr>
        <w:trPr>
          <w:trHeight w:val="1330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（四）实现数据同步与服务层开发。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将解析后的数据对接到本地数据库，并封装业务逻辑。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1.数据落地实施。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将数据同步代理服务获取的数据，通过ORM（如MyBatis-Plus, JPA）或JDBC持久化到MySQL对应的表中。实现增量更新逻辑，仅同步发生变化的数据，减轻系统负荷。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2.业务服务实施。</w:t>
            </w:r>
          </w:p>
          <w:p>
            <w:pPr>
              <w:rPr>
                <w:rFonts w:ascii="仿宋" w:cs="仿宋"/>
                <w:bCs/>
                <w:szCs w:val="21"/>
              </w:rPr>
            </w:pPr>
            <w:r>
              <w:rPr>
                <w:rFonts w:ascii="仿宋" w:cs="仿宋"/>
                <w:bCs/>
                <w:szCs w:val="21"/>
              </w:rPr>
              <w:t>通过Service层代码，处理核心业务逻辑，如状态变更的联动更新、数据关联查询等。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cs="仿宋"/>
                <w:szCs w:val="21"/>
                <w:lang w:eastAsia="zh-C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</w:tr>
      <w:tr>
        <w:trPr>
          <w:trHeight w:val="62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r>
              <w:t>（五）满足改造技术要求。</w:t>
            </w:r>
          </w:p>
          <w:p>
            <w:r>
              <w:t>1、接口要求。</w:t>
            </w:r>
          </w:p>
          <w:p>
            <w:r>
              <w:t>（1）操作日志。记录所有数据同步、状态变更的操作日志，用于审计和排查问题。</w:t>
            </w:r>
          </w:p>
          <w:p>
            <w:r>
              <w:t>（2）索引优化。针对所有高频查询条件（如提运单号、报关单号、时间范围、企业名称等）创建高效的数据库索引，确保查询性能。</w:t>
            </w:r>
          </w:p>
          <w:p>
            <w:r>
              <w:t>2、数据一致性要求。</w:t>
            </w:r>
          </w:p>
          <w:p>
            <w:r>
              <w:t>确保本地数据库与海关总署数据源的状态最终一致性。建立异常重试和告警机制，对同步失败的数据进行记录和人工干预。</w:t>
            </w:r>
          </w:p>
          <w:p>
            <w:r>
              <w:t>3、数据安全性。</w:t>
            </w:r>
          </w:p>
          <w:p>
            <w:r>
              <w:t>新接口实施身份认证和权限控制，确保数据安全。对外部WebService的调用需使用HTTPS和数据加密传输。</w:t>
            </w:r>
          </w:p>
          <w:p>
            <w:r>
              <w:t>4、数据可维护性。</w:t>
            </w:r>
          </w:p>
          <w:p>
            <w:pPr>
              <w:rPr>
                <w:rFonts w:hint="eastAsia"/>
              </w:rPr>
            </w:pPr>
            <w:r>
              <w:t>数据同步模块与业务API模块解耦，便于独立扩展和维护。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cs="仿宋" w:hint="eastAsia"/>
                <w:szCs w:val="21"/>
                <w:lang w:eastAsia="zh-C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 w:hint="eastAsia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 w:hint="eastAsia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 w:hint="eastAsia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47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/>
                <w:szCs w:val="21"/>
                <w:lang w:bidi="en-US"/>
              </w:rPr>
              <w:t>其他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48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11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</w:tbl>
    <w:p/>
    <w:p>
      <w:pPr>
        <w:rPr>
          <w:rFonts w:ascii="仿宋" w:cs="仿宋"/>
        </w:rPr>
      </w:pPr>
    </w:p>
    <w:p>
      <w:pPr>
        <w:adjustRightInd w:val="0"/>
        <w:snapToGrid w:val="0"/>
        <w:spacing w:line="500" w:lineRule="exact"/>
        <w:ind w:rightChars="50" w:right="105"/>
        <w:jc w:val="left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</w:rPr>
        <w:t>填表要求：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1．“投标文件响应内容”一栏由投标人按照</w:t>
      </w:r>
      <w:r>
        <w:rPr>
          <w:rFonts w:ascii="仿宋" w:cs="仿宋"/>
          <w:szCs w:val="21"/>
        </w:rPr>
        <w:t>服务</w:t>
      </w:r>
      <w:r>
        <w:rPr>
          <w:rFonts w:ascii="仿宋" w:cs="仿宋" w:hint="eastAsia"/>
          <w:szCs w:val="21"/>
        </w:rPr>
        <w:t>要求填写并进行逐项响应。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3．“偏离说明”一栏由投标人对偏离的情况做详细说明。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/>
          <w:szCs w:val="21"/>
        </w:rPr>
        <w:t>4</w:t>
      </w:r>
      <w:r>
        <w:rPr>
          <w:rFonts w:ascii="仿宋" w:cs="仿宋" w:hint="eastAsia"/>
          <w:szCs w:val="21"/>
        </w:rPr>
        <w:t>．★标注项</w:t>
      </w:r>
      <w:r>
        <w:rPr>
          <w:rFonts w:ascii="仿宋" w:cs="仿宋"/>
          <w:szCs w:val="21"/>
        </w:rPr>
        <w:t>必须提供证明材料。</w:t>
      </w: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  <w:r>
        <w:rPr>
          <w:rFonts w:ascii="仿宋" w:cs="仿宋" w:hint="eastAsia"/>
        </w:rPr>
        <w:t>日期</w:t>
      </w:r>
      <w:r>
        <w:rPr>
          <w:rFonts w:ascii="仿宋" w:cs="仿宋"/>
          <w:szCs w:val="21"/>
        </w:rPr>
        <w:t>：</w:t>
      </w: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altName w:val="华文宋体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altName w:val="华文细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altName w:val="DejaVu Sans"/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方正仿宋_GBK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mbria Math">
    <w:altName w:val="DejaVu Sans"/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方正黑体_GBK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50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6.7499657pt;margin-top:0.0pt;width:4.5pt;height:11.655035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EB839DF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4B8AFE58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szCs w:val="20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15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next w:val="15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zh-CN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2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5">
    <w:name w:val="样式 3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6">
    <w:name w:val="样式 3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7">
    <w:name w:val="样式 3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8">
    <w:name w:val="样式 3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9">
    <w:name w:val="样式 3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0">
    <w:name w:val="样式 3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1">
    <w:name w:val="样式 3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2">
    <w:name w:val="样式 3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3">
    <w:name w:val="样式 3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4">
    <w:name w:val="样式 3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5">
    <w:name w:val="样式 4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6">
    <w:name w:val="样式 4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8">
    <w:name w:val="样式 4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9">
    <w:name w:val="样式 4 小四"/>
    <w:rPr>
      <w:rFonts w:ascii="Times New Roman" w:eastAsia="SimSun" w:cs="Times New Roman" w:hAnsi="Times New Roman"/>
      <w:sz w:val="24"/>
      <w:szCs w:val="24"/>
      <w:lang w:val="en-US" w:eastAsia="zh-CN" w:bidi="ar-SA"/>
    </w:rPr>
  </w:style>
  <w:style w:type="paragraph" w:customStyle="1" w:styleId="150">
    <w:name w:val="样式 44 10 磅"/>
    <w:next w:val="149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51">
    <w:name w:val="样式 45 10 磅"/>
    <w:next w:val="150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52">
    <w:name w:val="样式 46 10 磅"/>
    <w:next w:val="151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53">
    <w:name w:val="样式 6 小四"/>
    <w:rPr>
      <w:rFonts w:ascii="Times New Roman" w:eastAsia="SimSun" w:cs="Times New Roman" w:hAnsi="Times New Roman"/>
      <w:sz w:val="24"/>
      <w:szCs w:val="24"/>
      <w:lang w:val="en-US" w:eastAsia="zh-CN" w:bidi="ar-SA"/>
    </w:rPr>
  </w:style>
  <w:style w:type="paragraph" w:styleId="154">
    <w:name w:val="index 7"/>
    <w:basedOn w:val="0"/>
    <w:autoRedefine/>
    <w:next w:val="0"/>
    <w:pPr>
      <w:ind w:left="2520"/>
    </w:pPr>
  </w:style>
  <w:style w:type="paragraph" w:customStyle="1" w:styleId="155">
    <w:name w:val="样式 5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56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7">
    <w:name w:val="样式 4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58">
    <w:name w:val="样式 4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59">
    <w:name w:val="样式 5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0">
    <w:name w:val="样式 5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1">
    <w:name w:val="样式 5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2">
    <w:name w:val="样式 5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3">
    <w:name w:val="样式 5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4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5">
    <w:name w:val="样式 15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66">
    <w:name w:val="样式 5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67">
    <w:name w:val="样式 5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8">
    <w:name w:val="样式 7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69">
    <w:name w:val="样式 5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0">
    <w:name w:val="样式 16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1">
    <w:name w:val="样式 16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2">
    <w:name w:val="样式 15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3">
    <w:name w:val="样式 15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4">
    <w:name w:val="样式 6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5">
    <w:name w:val="样式 6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6">
    <w:name w:val="样式 6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7">
    <w:name w:val="样式 6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8">
    <w:name w:val="样式 16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79">
    <w:name w:val="样式 6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0">
    <w:name w:val="样式 6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1">
    <w:name w:val="样式 6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2">
    <w:name w:val="样式 6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3">
    <w:name w:val="样式 6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4">
    <w:name w:val="样式 6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5">
    <w:name w:val="样式 7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6">
    <w:name w:val="样式 7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7">
    <w:name w:val="样式 7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8">
    <w:name w:val="样式 14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2">
    <w:name w:val="样式 8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73">
    <w:name w:val="样式 9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2506</TotalTime>
  <Application>Yozo_Office</Application>
  <Pages>10</Pages>
  <Words>2253</Words>
  <Characters>2421</Characters>
  <Lines>285</Lines>
  <Paragraphs>121</Paragraphs>
  <CharactersWithSpaces>2564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董妍</cp:lastModifiedBy>
  <cp:revision>2</cp:revision>
  <cp:lastPrinted>2024-09-29T03:59:00Z</cp:lastPrinted>
  <dcterms:created xsi:type="dcterms:W3CDTF">2024-08-06T05:59:00Z</dcterms:created>
  <dcterms:modified xsi:type="dcterms:W3CDTF">2025-10-16T08:32:50Z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