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rFonts w:ascii="仿宋" w:cs="仿宋"/>
          <w:b/>
          <w:sz w:val="28"/>
          <w:szCs w:val="28"/>
        </w:rPr>
      </w:pP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1</w:t>
      </w:r>
    </w:p>
    <w:p>
      <w:pPr>
        <w:jc w:val="center"/>
        <w:rPr>
          <w:rFonts w:ascii="仿宋" w:cs="仿宋"/>
          <w:b/>
          <w:bCs/>
          <w:sz w:val="32"/>
          <w:szCs w:val="32"/>
        </w:rPr>
      </w:pPr>
      <w:r>
        <w:rPr>
          <w:rFonts w:ascii="仿宋" w:cs="仿宋" w:hint="eastAsia"/>
          <w:b/>
          <w:bCs/>
          <w:sz w:val="32"/>
          <w:szCs w:val="32"/>
        </w:rPr>
        <w:t>投标文件的封皮</w:t>
      </w: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jc w:val="center"/>
        <w:rPr>
          <w:rFonts w:ascii="仿宋" w:cs="仿宋"/>
          <w:b/>
          <w:bCs/>
          <w:sz w:val="52"/>
          <w:szCs w:val="52"/>
        </w:rPr>
      </w:pPr>
      <w:r>
        <w:rPr>
          <w:rFonts w:ascii="仿宋" w:cs="仿宋" w:hint="eastAsia"/>
          <w:b/>
          <w:bCs/>
          <w:sz w:val="52"/>
          <w:szCs w:val="52"/>
        </w:rPr>
        <w:t>投  标  文  件</w:t>
      </w: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 w:hint="eastAsia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项目名称：</w:t>
      </w:r>
      <w:r>
        <w:rPr>
          <w:rFonts w:ascii="仿宋" w:cs="仿宋" w:hint="eastAsia"/>
          <w:sz w:val="28"/>
          <w:szCs w:val="28"/>
          <w:bdr w:val="none" w:sz="0" w:space="0" w:color="auto"/>
        </w:rPr>
        <w:t>沈阳桃仙机场海关智能化人员通道与门禁设备采购</w:t>
      </w:r>
      <w:r>
        <w:rPr>
          <w:rFonts w:ascii="仿宋" w:cs="仿宋" w:hint="eastAsia"/>
          <w:sz w:val="28"/>
          <w:szCs w:val="28"/>
        </w:rPr>
        <w:t>项目</w:t>
      </w: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项目编号：</w:t>
      </w:r>
      <w:r>
        <w:rPr>
          <w:rFonts w:ascii="Times New Roman" w:eastAsia="方正仿宋_GBK" w:cs="Times New Roman" w:hAnsi="Times New Roman"/>
          <w:sz w:val="32"/>
          <w:szCs w:val="32"/>
        </w:rPr>
        <w:t>2025-MH-014</w:t>
      </w: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投标人名称</w:t>
      </w:r>
      <w:r>
        <w:rPr>
          <w:rFonts w:ascii="仿宋" w:cs="仿宋"/>
          <w:sz w:val="28"/>
          <w:szCs w:val="28"/>
        </w:rPr>
        <w:t>（加盖公章）</w:t>
      </w:r>
      <w:r>
        <w:rPr>
          <w:rFonts w:ascii="仿宋" w:cs="仿宋" w:hint="eastAsia"/>
          <w:sz w:val="28"/>
          <w:szCs w:val="28"/>
        </w:rPr>
        <w:t>：</w:t>
      </w:r>
    </w:p>
    <w:p>
      <w:pPr>
        <w:rPr>
          <w:rFonts w:ascii="仿宋" w:cs="仿宋"/>
          <w:szCs w:val="28"/>
        </w:rPr>
      </w:pPr>
      <w:r>
        <w:rPr>
          <w:rFonts w:ascii="仿宋" w:cs="仿宋" w:hint="eastAsia"/>
        </w:rPr>
        <w:br w:type="page"/>
      </w:r>
      <w:r>
        <w:rPr>
          <w:rFonts w:ascii="仿宋" w:cs="仿宋" w:hint="eastAsia"/>
          <w:b/>
          <w:sz w:val="28"/>
          <w:szCs w:val="28"/>
        </w:rPr>
        <w:t>格式2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0" w:name="_Toc16924_WPSOffice_Level2"/>
      <w:bookmarkStart w:id="1" w:name="_Toc3401_WPSOffice_Level2"/>
      <w:r>
        <w:rPr>
          <w:rFonts w:ascii="仿宋" w:cs="仿宋" w:hint="eastAsia"/>
          <w:b/>
          <w:sz w:val="32"/>
          <w:szCs w:val="32"/>
        </w:rPr>
        <w:t>法定代表人（或非法人组织负责人）身份证明书</w:t>
      </w:r>
      <w:bookmarkEnd w:id="0"/>
      <w:bookmarkEnd w:id="1"/>
    </w:p>
    <w:p>
      <w:pPr>
        <w:spacing w:line="360" w:lineRule="auto"/>
        <w:ind w:firstLineChars="400" w:firstLine="84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姓名：，性别：，出生日期：，现任职务：，系（投标人名称）的法定代表人（或非法人组织负责人）。</w:t>
      </w: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特此证明。</w:t>
      </w: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tbl>
      <w:tblPr>
        <w:jc w:val="center"/>
        <w:tblW w:w="8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8"/>
      </w:tblGrid>
      <w:tr>
        <w:trPr>
          <w:trHeight w:val="3520"/>
        </w:trPr>
        <w:tc>
          <w:tcPr>
            <w:tcW w:w="8228" w:type="dxa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（※法定代表人（或非法人组织负责人）身份证正、反面复印件※）</w:t>
            </w:r>
          </w:p>
        </w:tc>
      </w:tr>
    </w:tbl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  <w:u w:val="single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日期：</w:t>
      </w:r>
    </w:p>
    <w:p>
      <w:pPr>
        <w:rPr>
          <w:rFonts w:ascii="仿宋" w:cs="仿宋"/>
        </w:rPr>
      </w:pPr>
    </w:p>
    <w:p>
      <w:pPr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b w:val="0"/>
          <w:bCs/>
          <w:sz w:val="32"/>
          <w:szCs w:val="32"/>
        </w:rPr>
      </w:pPr>
      <w:r>
        <w:rPr>
          <w:rFonts w:ascii="仿宋" w:cs="仿宋" w:hint="eastAsia"/>
          <w:szCs w:val="28"/>
        </w:rPr>
        <w:t>格式</w:t>
      </w:r>
      <w:bookmarkStart w:id="2" w:name="_Toc122_WPSOffice_Level2"/>
      <w:bookmarkStart w:id="3" w:name="_Toc21833_WPSOffice_Level2"/>
      <w:r>
        <w:rPr>
          <w:rFonts w:ascii="仿宋" w:cs="仿宋"/>
          <w:szCs w:val="28"/>
        </w:rPr>
        <w:t>3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r>
        <w:rPr>
          <w:rFonts w:ascii="仿宋" w:cs="仿宋" w:hint="eastAsia"/>
          <w:b/>
          <w:sz w:val="32"/>
          <w:szCs w:val="32"/>
        </w:rPr>
        <w:t>法定代表人（或非法人组织负责人）授权委托书</w:t>
      </w:r>
      <w:bookmarkEnd w:id="2"/>
      <w:bookmarkEnd w:id="3"/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单位名称：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 xml:space="preserve">法定代表人（或非法人组织负责人）姓名： </w:t>
      </w:r>
      <w:r>
        <w:rPr>
          <w:rFonts w:ascii="仿宋" w:cs="仿宋" w:hint="eastAsia"/>
          <w:szCs w:val="21"/>
          <w:lang w:val="en-US" w:eastAsia="zh-CN"/>
        </w:rPr>
        <w:t xml:space="preserve">   </w:t>
      </w:r>
      <w:r>
        <w:rPr>
          <w:rFonts w:ascii="仿宋" w:cs="仿宋" w:hint="eastAsia"/>
          <w:szCs w:val="21"/>
        </w:rPr>
        <w:t>身份证号码：</w:t>
      </w:r>
    </w:p>
    <w:p>
      <w:pPr>
        <w:tabs>
          <w:tab w:val="left" w:pos="5205"/>
        </w:tabs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住所地：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 xml:space="preserve">人姓名：                   </w:t>
      </w:r>
      <w:r>
        <w:rPr>
          <w:rFonts w:ascii="仿宋" w:cs="仿宋" w:hint="eastAsia"/>
          <w:szCs w:val="21"/>
          <w:lang w:val="en-US" w:eastAsia="zh-CN"/>
        </w:rPr>
        <w:t xml:space="preserve">       </w:t>
      </w:r>
      <w:r>
        <w:rPr>
          <w:rFonts w:ascii="仿宋" w:cs="仿宋" w:hint="eastAsia"/>
          <w:szCs w:val="21"/>
        </w:rPr>
        <w:t>身份证号码：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工作单位：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住址：                   电话：</w:t>
      </w:r>
    </w:p>
    <w:p>
      <w:pPr>
        <w:spacing w:line="360" w:lineRule="auto"/>
        <w:ind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现委托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 </w:t>
      </w:r>
      <w:r>
        <w:rPr>
          <w:rFonts w:ascii="仿宋" w:cs="仿宋" w:hint="eastAsia"/>
          <w:szCs w:val="21"/>
        </w:rPr>
        <w:t>就</w:t>
      </w:r>
      <w:r>
        <w:rPr>
          <w:rFonts w:ascii="仿宋" w:cs="仿宋" w:hint="eastAsia"/>
          <w:szCs w:val="21"/>
          <w:u w:val="single"/>
        </w:rPr>
        <w:t>（项目编号、项目名称、包号）</w:t>
      </w:r>
      <w:r>
        <w:rPr>
          <w:rFonts w:ascii="仿宋" w:cs="仿宋" w:hint="eastAsia"/>
          <w:szCs w:val="21"/>
        </w:rPr>
        <w:t>投标中，以我单位名义处理一切与之有关的事务。</w:t>
      </w:r>
    </w:p>
    <w:p>
      <w:pPr>
        <w:spacing w:line="360" w:lineRule="auto"/>
        <w:ind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本授权书于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年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月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日</w:t>
      </w:r>
      <w:r>
        <w:rPr>
          <w:rFonts w:ascii="仿宋" w:cs="仿宋" w:hint="eastAsia"/>
          <w:szCs w:val="21"/>
        </w:rPr>
        <w:t>签字或盖章生效，无转委托，特此声明。</w:t>
      </w:r>
    </w:p>
    <w:p>
      <w:pPr>
        <w:spacing w:line="360" w:lineRule="auto"/>
        <w:rPr>
          <w:rFonts w:ascii="仿宋" w:cs="仿宋"/>
          <w:szCs w:val="21"/>
        </w:rPr>
      </w:pPr>
    </w:p>
    <w:tbl>
      <w:tblPr>
        <w:jc w:val="center"/>
        <w:tblW w:w="8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8"/>
      </w:tblGrid>
      <w:tr>
        <w:trPr>
          <w:trHeight w:val="3520"/>
        </w:trPr>
        <w:tc>
          <w:tcPr>
            <w:tcW w:w="8228" w:type="dxa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（※授权</w:t>
            </w:r>
            <w:r>
              <w:rPr>
                <w:rFonts w:ascii="仿宋" w:cs="仿宋" w:hint="eastAsia"/>
              </w:rPr>
              <w:t>委托</w:t>
            </w:r>
            <w:r>
              <w:rPr>
                <w:rFonts w:ascii="仿宋" w:cs="仿宋" w:hint="eastAsia"/>
                <w:szCs w:val="21"/>
              </w:rPr>
              <w:t>人身份证正、反面复印件※）</w:t>
            </w:r>
          </w:p>
        </w:tc>
      </w:tr>
    </w:tbl>
    <w:p>
      <w:pPr>
        <w:spacing w:line="360" w:lineRule="auto"/>
        <w:rPr>
          <w:rFonts w:ascii="仿宋" w:cs="仿宋"/>
          <w:szCs w:val="21"/>
        </w:rPr>
      </w:pP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委托人（加盖单位公章）：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法定代表人（或非法人组织负责人）（签字或盖章）：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人（签字或盖章）：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详细通讯地址：      邮政编码 ：</w:t>
      </w:r>
    </w:p>
    <w:p>
      <w:pPr>
        <w:spacing w:line="360" w:lineRule="auto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电     话：</w:t>
      </w:r>
    </w:p>
    <w:p>
      <w:pPr>
        <w:spacing w:line="360" w:lineRule="auto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日     期:</w:t>
      </w:r>
    </w:p>
    <w:p>
      <w:pPr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4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r>
        <w:rPr>
          <w:rFonts w:ascii="仿宋" w:cs="仿宋" w:hint="eastAsia"/>
          <w:b/>
          <w:sz w:val="32"/>
          <w:szCs w:val="32"/>
        </w:rPr>
        <w:t>具有良好的商业信誉和健全的财务会计制度的承诺函</w:t>
      </w:r>
    </w:p>
    <w:p>
      <w:pPr>
        <w:spacing w:beforeLines="100" w:before="319" w:afterLines="100" w:after="319" w:line="480" w:lineRule="exact"/>
        <w:ind w:rightChars="300" w:right="630"/>
        <w:jc w:val="center"/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（格式自拟）</w:t>
      </w: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</w:p>
    <w:p>
      <w:pPr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5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4" w:name="_Toc23728_WPSOffice_Level2"/>
      <w:bookmarkStart w:id="5" w:name="_Toc12037_WPSOffice_Level2"/>
      <w:r>
        <w:rPr>
          <w:rFonts w:ascii="仿宋" w:cs="仿宋" w:hint="eastAsia"/>
          <w:b/>
          <w:sz w:val="32"/>
          <w:szCs w:val="32"/>
        </w:rPr>
        <w:t>具备履行合同所必需的设备和专业技术能力声明函</w:t>
      </w:r>
      <w:bookmarkEnd w:id="4"/>
      <w:bookmarkEnd w:id="5"/>
    </w:p>
    <w:p>
      <w:pPr>
        <w:spacing w:beforeLines="100" w:before="319" w:afterLines="100" w:after="319" w:line="480" w:lineRule="exact"/>
        <w:ind w:rightChars="300" w:right="630"/>
        <w:jc w:val="center"/>
        <w:rPr>
          <w:rFonts w:ascii="仿宋" w:cs="仿宋"/>
          <w:sz w:val="28"/>
          <w:szCs w:val="28"/>
        </w:rPr>
      </w:pPr>
      <w:bookmarkStart w:id="6" w:name="_Toc28831_WPSOffice_Level2"/>
      <w:bookmarkStart w:id="7" w:name="_Toc1917_WPSOffice_Level2"/>
      <w:r>
        <w:rPr>
          <w:rFonts w:ascii="仿宋" w:cs="仿宋" w:hint="eastAsia"/>
          <w:sz w:val="28"/>
          <w:szCs w:val="28"/>
        </w:rPr>
        <w:t>（格式自拟）</w:t>
      </w:r>
      <w:bookmarkEnd w:id="6"/>
      <w:bookmarkEnd w:id="7"/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b/>
          <w:sz w:val="28"/>
          <w:szCs w:val="28"/>
        </w:rPr>
      </w:pPr>
    </w:p>
    <w:p>
      <w:pPr>
        <w:widowControl/>
        <w:jc w:val="left"/>
        <w:rPr>
          <w:rFonts w:ascii="仿宋" w:cs="仿宋"/>
          <w:b/>
          <w:sz w:val="28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6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8" w:name="_Toc11967_WPSOffice_Level2"/>
      <w:bookmarkStart w:id="9" w:name="_Toc7498_WPSOffice_Level2"/>
      <w:r>
        <w:rPr>
          <w:rFonts w:ascii="仿宋" w:cs="仿宋" w:hint="eastAsia"/>
          <w:b/>
          <w:sz w:val="32"/>
          <w:szCs w:val="32"/>
        </w:rPr>
        <w:t>参加政府采购活动前3年内在经营活动中没有重大违法记录的书面声明</w:t>
      </w:r>
      <w:bookmarkEnd w:id="8"/>
      <w:bookmarkEnd w:id="9"/>
    </w:p>
    <w:p>
      <w:pPr>
        <w:spacing w:line="360" w:lineRule="auto"/>
        <w:ind w:rightChars="300" w:right="630"/>
        <w:rPr>
          <w:rFonts w:ascii="仿宋" w:cs="仿宋"/>
          <w:b/>
          <w:szCs w:val="21"/>
        </w:rPr>
      </w:pPr>
      <w:r>
        <w:rPr>
          <w:rFonts w:ascii="仿宋" w:cs="仿宋" w:hint="eastAsia"/>
          <w:b/>
          <w:szCs w:val="21"/>
          <w:u w:val="single"/>
        </w:rPr>
        <w:t xml:space="preserve">（采购人或采购代理机构名称） </w:t>
      </w:r>
      <w:r>
        <w:rPr>
          <w:rFonts w:ascii="仿宋" w:cs="仿宋" w:hint="eastAsia"/>
          <w:b/>
          <w:szCs w:val="21"/>
        </w:rPr>
        <w:t xml:space="preserve"> ：</w:t>
      </w:r>
    </w:p>
    <w:p>
      <w:pPr>
        <w:spacing w:line="360" w:lineRule="auto"/>
        <w:ind w:rightChars="-10" w:right="-21" w:firstLineChars="233" w:firstLine="489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在本项目递交投标文件截止时间前，我单位参加本次政府采购活动前3年内在经营活动中没有因违法经营受到刑事处罚或者责令停产停业、吊销许可证或者执照、较大数额罚款等行政处罚的重大违法记录；通过“信用中国”(网站：www.creditchina.gov.cn/)、“中国政府采购网”（网站www.ccgp.gov.cn）等渠道查询，我单位未被列入失信被执行人、重大税收违法案件当事人名单、政府采购严重违法失信行为记录名单。</w:t>
      </w:r>
    </w:p>
    <w:p>
      <w:pPr>
        <w:tabs>
          <w:tab w:val="left" w:pos="10065"/>
        </w:tabs>
        <w:spacing w:line="360" w:lineRule="auto"/>
        <w:ind w:rightChars="-10" w:right="-21" w:firstLineChars="177" w:firstLine="372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如发现我单位提供的声明函不实时，我单位将按照《政府采购法》有关提供虚假材料的规定，接受处罚。</w:t>
      </w:r>
    </w:p>
    <w:p>
      <w:pPr>
        <w:spacing w:line="360" w:lineRule="auto"/>
        <w:ind w:rightChars="500" w:right="1050"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特此声明。</w:t>
      </w:r>
    </w:p>
    <w:p>
      <w:pPr>
        <w:spacing w:line="5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line="360" w:lineRule="exact"/>
        <w:ind w:rightChars="500" w:right="1050"/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日期：</w:t>
      </w:r>
    </w:p>
    <w:p>
      <w:pPr>
        <w:spacing w:line="360" w:lineRule="auto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  <w:sectPr>
          <w:footerReference w:type="default" r:id="rId2"/>
          <w:pgSz w:w="11906" w:h="16838"/>
          <w:pgMar w:top="1440" w:right="1803" w:bottom="1440" w:left="1803" w:header="851" w:footer="992" w:gutter="0"/>
          <w:docGrid w:type="linesAndChars" w:linePitch="319" w:charSpace="0"/>
        </w:sectPr>
      </w:pP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7</w:t>
      </w:r>
    </w:p>
    <w:p>
      <w:pPr>
        <w:adjustRightInd w:val="0"/>
        <w:snapToGrid w:val="0"/>
        <w:spacing w:beforeLines="100" w:before="319" w:afterLines="100" w:after="319" w:line="360" w:lineRule="auto"/>
        <w:ind w:rightChars="50" w:right="105"/>
        <w:jc w:val="center"/>
        <w:rPr>
          <w:rFonts w:ascii="仿宋" w:cs="仿宋"/>
          <w:b/>
          <w:bCs/>
          <w:sz w:val="32"/>
          <w:szCs w:val="32"/>
        </w:rPr>
      </w:pPr>
      <w:r>
        <w:rPr>
          <w:rFonts w:ascii="仿宋" w:cs="仿宋"/>
          <w:b/>
          <w:bCs/>
          <w:sz w:val="32"/>
          <w:szCs w:val="32"/>
        </w:rPr>
        <w:t>报价单</w:t>
      </w:r>
    </w:p>
    <w:p>
      <w:pPr>
        <w:adjustRightInd w:val="0"/>
        <w:snapToGrid w:val="0"/>
        <w:spacing w:line="360" w:lineRule="auto"/>
        <w:ind w:rightChars="50" w:right="105" w:firstLineChars="150" w:firstLine="315"/>
        <w:jc w:val="left"/>
        <w:rPr>
          <w:rFonts w:ascii="仿宋" w:cs="仿宋"/>
          <w:b/>
          <w:bCs/>
          <w:szCs w:val="21"/>
        </w:rPr>
      </w:pPr>
      <w:r>
        <w:rPr>
          <w:rFonts w:ascii="仿宋" w:cs="仿宋"/>
          <w:b/>
          <w:bCs/>
          <w:szCs w:val="21"/>
        </w:rPr>
        <w:t>项目编</w:t>
      </w:r>
      <w:r>
        <w:rPr>
          <w:rFonts w:ascii="仿宋" w:cs="仿宋" w:hint="eastAsia"/>
          <w:b/>
          <w:bCs/>
          <w:szCs w:val="21"/>
        </w:rPr>
        <w:t>号：</w:t>
      </w:r>
      <w:r>
        <w:rPr>
          <w:rFonts w:ascii="仿宋" w:cs="仿宋"/>
          <w:b/>
          <w:bCs/>
          <w:szCs w:val="21"/>
        </w:rPr>
        <w:t xml:space="preserve">2025-MH-014       </w:t>
      </w:r>
      <w:r>
        <w:rPr>
          <w:rFonts w:ascii="仿宋" w:cs="仿宋" w:hint="eastAsia"/>
          <w:b/>
          <w:bCs/>
          <w:szCs w:val="21"/>
        </w:rPr>
        <w:t xml:space="preserve">                           </w:t>
      </w:r>
      <w:r>
        <w:rPr>
          <w:rFonts w:ascii="仿宋" w:cs="仿宋" w:hint="eastAsia"/>
          <w:b/>
          <w:bCs/>
          <w:szCs w:val="21"/>
          <w:lang w:val="en-US" w:eastAsia="zh-CN"/>
        </w:rPr>
        <w:t xml:space="preserve">   </w:t>
      </w:r>
      <w:r>
        <w:rPr>
          <w:rFonts w:ascii="仿宋" w:cs="仿宋" w:hint="eastAsia"/>
          <w:b/>
          <w:bCs/>
          <w:szCs w:val="21"/>
        </w:rPr>
        <w:t>报价单位：元</w:t>
      </w:r>
    </w:p>
    <w:tbl>
      <w:tblPr>
        <w:jc w:val="center"/>
        <w:tblW w:w="79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0"/>
        <w:gridCol w:w="2763"/>
        <w:gridCol w:w="2153"/>
      </w:tblGrid>
      <w:tr>
        <w:trPr>
          <w:trHeight w:val="827"/>
        </w:trPr>
        <w:tc>
          <w:tcPr>
            <w:tcW w:w="3000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/>
                <w:szCs w:val="21"/>
              </w:rPr>
              <w:t>项目名称</w:t>
            </w:r>
          </w:p>
        </w:tc>
        <w:tc>
          <w:tcPr>
            <w:tcW w:w="2763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投标总价</w:t>
            </w:r>
          </w:p>
        </w:tc>
        <w:tc>
          <w:tcPr>
            <w:tcW w:w="2153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备注</w:t>
            </w:r>
          </w:p>
        </w:tc>
      </w:tr>
      <w:tr>
        <w:trPr>
          <w:trHeight w:val="1473"/>
        </w:trPr>
        <w:tc>
          <w:tcPr>
            <w:tcW w:w="3000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left"/>
              <w:rPr>
                <w:rFonts w:ascii="仿宋" w:cs="仿宋" w:hint="eastAsia"/>
                <w:szCs w:val="21"/>
              </w:rPr>
            </w:pPr>
            <w:r>
              <w:rPr>
                <w:rFonts w:ascii="仿宋" w:cs="仿宋" w:hint="eastAsia"/>
                <w:szCs w:val="21"/>
                <w:bdr w:val="none" w:sz="0" w:space="0" w:color="auto"/>
              </w:rPr>
              <w:t>沈阳桃仙机场海关智能化人员通道与门禁设备采购</w:t>
            </w:r>
            <w:r>
              <w:rPr>
                <w:rFonts w:ascii="仿宋" w:cs="仿宋" w:hint="eastAsia"/>
                <w:szCs w:val="21"/>
              </w:rPr>
              <w:t>项目</w:t>
            </w:r>
            <w:r>
              <w:rPr>
                <w:rFonts w:ascii="仿宋" w:cs="仿宋"/>
                <w:szCs w:val="21"/>
              </w:rPr>
              <w:t xml:space="preserve"> 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小写：</w:t>
            </w:r>
          </w:p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大写：</w:t>
            </w:r>
          </w:p>
        </w:tc>
        <w:tc>
          <w:tcPr>
            <w:tcW w:w="2153" w:type="dxa"/>
            <w:vAlign w:val="center"/>
          </w:tcPr>
          <w:p>
            <w:pPr>
              <w:pStyle w:val="123"/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</w:p>
        </w:tc>
      </w:tr>
    </w:tbl>
    <w:p>
      <w:pPr>
        <w:adjustRightInd w:val="0"/>
        <w:snapToGrid w:val="0"/>
        <w:spacing w:line="360" w:lineRule="auto"/>
        <w:ind w:rightChars="50" w:right="105" w:firstLineChars="200" w:firstLine="420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leftChars="200" w:left="735" w:rightChars="50" w:right="105" w:hangingChars="150" w:hanging="315"/>
        <w:jc w:val="lef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注：此表中，投标总价应</w:t>
      </w:r>
      <w:r>
        <w:rPr>
          <w:rFonts w:ascii="仿宋" w:cs="仿宋"/>
          <w:szCs w:val="21"/>
        </w:rPr>
        <w:t>为投标人确保满足本项目全部要求基础上做出的一次性报价，本报价应包含服务全部内容，采购人无需另外支付任何其他相关费用</w:t>
      </w:r>
      <w:r>
        <w:rPr>
          <w:rFonts w:ascii="仿宋" w:cs="仿宋" w:hint="eastAsia"/>
          <w:szCs w:val="21"/>
        </w:rPr>
        <w:t>。</w:t>
      </w: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spacing w:line="480" w:lineRule="auto"/>
        <w:ind w:rightChars="500" w:right="1050"/>
        <w:jc w:val="left"/>
        <w:rPr>
          <w:rFonts w:ascii="仿宋" w:cs="仿宋"/>
          <w:szCs w:val="21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</w:p>
    <w:p>
      <w:pPr>
        <w:keepNext w:val="0"/>
        <w:widowControl w:val="0"/>
        <w:adjustRightInd w:val="0"/>
        <w:snapToGrid w:val="0"/>
        <w:spacing w:line="360" w:lineRule="auto"/>
        <w:ind w:rightChars="50" w:right="105" w:firstLineChars="200" w:firstLine="420"/>
        <w:jc w:val="left"/>
      </w:pPr>
      <w:r>
        <w:rPr>
          <w:rFonts w:ascii="仿宋" w:cs="仿宋" w:hint="eastAsia"/>
          <w:szCs w:val="21"/>
        </w:rPr>
        <w:br w:type="page"/>
      </w:r>
    </w:p>
    <w:p>
      <w:pPr>
        <w:pStyle w:val="171"/>
        <w:adjustRightInd w:val="0"/>
        <w:snapToGrid w:val="0"/>
        <w:spacing w:before="0" w:after="0" w:line="240" w:lineRule="auto"/>
        <w:jc w:val="left"/>
        <w:rPr>
          <w:rFonts w:ascii="仿宋_GB2312" w:eastAsia="仿宋_GB2312" w:cs="仿宋_GB2312"/>
          <w:szCs w:val="28"/>
        </w:rPr>
      </w:pPr>
      <w:r>
        <w:rPr>
          <w:rFonts w:ascii="仿宋_GB2312" w:eastAsia="仿宋_GB2312" w:cs="仿宋_GB2312" w:hint="eastAsia"/>
          <w:szCs w:val="28"/>
        </w:rPr>
        <w:t>格式</w:t>
      </w:r>
      <w:r>
        <w:rPr>
          <w:rFonts w:ascii="仿宋_GB2312" w:eastAsia="仿宋_GB2312" w:cs="仿宋_GB2312"/>
          <w:szCs w:val="28"/>
        </w:rPr>
        <w:t>8</w:t>
      </w:r>
    </w:p>
    <w:p>
      <w:pPr>
        <w:pStyle w:val="172"/>
        <w:adjustRightInd w:val="0"/>
        <w:snapToGrid w:val="0"/>
        <w:spacing w:before="319" w:after="319" w:line="360" w:lineRule="auto"/>
        <w:ind w:rightChars="50" w:right="105"/>
        <w:jc w:val="center"/>
        <w:rPr>
          <w:rFonts w:ascii="仿宋_GB2312" w:eastAsia="仿宋_GB2312" w:cs="仿宋_GB2312"/>
          <w:b/>
          <w:bCs/>
          <w:sz w:val="32"/>
          <w:szCs w:val="32"/>
        </w:rPr>
      </w:pPr>
      <w:bookmarkStart w:id="10" w:name="_Toc28271_WPSOffice_Level2"/>
      <w:bookmarkStart w:id="11" w:name="_Toc16044_WPSOffice_Level2"/>
      <w:r>
        <w:rPr>
          <w:rFonts w:ascii="仿宋_GB2312" w:eastAsia="仿宋_GB2312" w:cs="仿宋_GB2312" w:hint="eastAsia"/>
          <w:b/>
          <w:bCs/>
          <w:sz w:val="32"/>
          <w:szCs w:val="32"/>
        </w:rPr>
        <w:t>分项报价表</w:t>
      </w:r>
      <w:bookmarkEnd w:id="10"/>
      <w:bookmarkEnd w:id="11"/>
    </w:p>
    <w:p>
      <w:pPr>
        <w:pStyle w:val="172"/>
        <w:adjustRightInd w:val="0"/>
        <w:snapToGrid w:val="0"/>
        <w:spacing w:before="319" w:after="319" w:line="360" w:lineRule="auto"/>
        <w:ind w:rightChars="50" w:right="105"/>
        <w:rPr>
          <w:rFonts w:ascii="仿宋_GB2312" w:eastAsia="仿宋_GB2312" w:cs="仿宋_GB2312"/>
          <w:b/>
          <w:bCs/>
          <w:sz w:val="32"/>
          <w:szCs w:val="32"/>
        </w:rPr>
      </w:pPr>
      <w:r>
        <w:rPr>
          <w:rFonts w:ascii="仿宋" w:cs="仿宋"/>
          <w:b/>
          <w:bCs/>
          <w:szCs w:val="21"/>
        </w:rPr>
        <w:t>项目编</w:t>
      </w:r>
      <w:r>
        <w:rPr>
          <w:rFonts w:ascii="仿宋" w:cs="仿宋" w:hint="eastAsia"/>
          <w:b/>
          <w:bCs/>
          <w:szCs w:val="21"/>
        </w:rPr>
        <w:t>号：</w:t>
      </w:r>
      <w:r>
        <w:rPr>
          <w:rFonts w:ascii="仿宋" w:cs="仿宋"/>
          <w:b/>
          <w:bCs/>
          <w:szCs w:val="21"/>
        </w:rPr>
        <w:t xml:space="preserve">2025-MH-014 </w:t>
      </w:r>
    </w:p>
    <w:tbl>
      <w:tblPr>
        <w:jc w:val="center"/>
        <w:tblW w:w="8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1718"/>
        <w:gridCol w:w="1032"/>
        <w:gridCol w:w="1032"/>
        <w:gridCol w:w="720"/>
        <w:gridCol w:w="1061"/>
        <w:gridCol w:w="1050"/>
        <w:gridCol w:w="902"/>
      </w:tblGrid>
      <w:tr>
        <w:trPr>
          <w:trHeight w:val="782"/>
        </w:trPr>
        <w:tc>
          <w:tcPr>
            <w:tcW w:w="891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序号</w:t>
            </w:r>
          </w:p>
        </w:tc>
        <w:tc>
          <w:tcPr>
            <w:tcW w:w="1718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产品名称</w:t>
            </w:r>
          </w:p>
        </w:tc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品牌</w:t>
            </w:r>
          </w:p>
        </w:tc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型号</w:t>
            </w:r>
          </w:p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规格</w:t>
            </w: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数量</w:t>
            </w: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单价</w:t>
            </w:r>
            <w:r>
              <w:rPr>
                <w:rFonts w:ascii="仿宋_GB2312" w:eastAsia="仿宋_GB2312" w:cs="仿宋_GB2312"/>
                <w:szCs w:val="21"/>
              </w:rPr>
              <w:t>（元）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总价</w:t>
            </w:r>
            <w:r>
              <w:rPr>
                <w:rFonts w:ascii="仿宋_GB2312" w:eastAsia="仿宋_GB2312" w:cs="仿宋_GB2312"/>
                <w:szCs w:val="21"/>
              </w:rPr>
              <w:t>（元）</w:t>
            </w:r>
          </w:p>
        </w:tc>
        <w:tc>
          <w:tcPr>
            <w:tcW w:w="902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备注</w:t>
            </w:r>
          </w:p>
        </w:tc>
      </w:tr>
      <w:tr>
        <w:trPr>
          <w:trHeight w:val="528"/>
        </w:trPr>
        <w:tc>
          <w:tcPr>
            <w:tcW w:w="891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1</w:t>
            </w:r>
          </w:p>
        </w:tc>
        <w:tc>
          <w:tcPr>
            <w:tcW w:w="1718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bCs/>
                <w:snapToGrid w:val="0"/>
                <w:kern w:val="2"/>
                <w:sz w:val="21"/>
                <w:szCs w:val="21"/>
              </w:rPr>
              <w:t>双通道闸机</w:t>
            </w:r>
          </w:p>
        </w:tc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1</w:t>
            </w: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02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  <w:tr>
        <w:trPr>
          <w:trHeight w:val="528"/>
        </w:trPr>
        <w:tc>
          <w:tcPr>
            <w:tcW w:w="891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2</w:t>
            </w:r>
          </w:p>
        </w:tc>
        <w:tc>
          <w:tcPr>
            <w:tcW w:w="1718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bCs/>
                <w:snapToGrid w:val="0"/>
                <w:kern w:val="2"/>
                <w:sz w:val="21"/>
                <w:szCs w:val="21"/>
              </w:rPr>
              <w:t>单通道闸机</w:t>
            </w:r>
          </w:p>
        </w:tc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2</w:t>
            </w: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02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  <w:tr>
        <w:trPr>
          <w:trHeight w:val="528"/>
        </w:trPr>
        <w:tc>
          <w:tcPr>
            <w:tcW w:w="891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3</w:t>
            </w:r>
          </w:p>
        </w:tc>
        <w:tc>
          <w:tcPr>
            <w:tcW w:w="1718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bCs/>
                <w:snapToGrid w:val="0"/>
                <w:kern w:val="2"/>
                <w:sz w:val="21"/>
                <w:szCs w:val="21"/>
              </w:rPr>
              <w:t>人脸识别门禁设备</w:t>
            </w:r>
          </w:p>
        </w:tc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6</w:t>
            </w: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02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  <w:tr>
        <w:trPr>
          <w:trHeight w:val="528"/>
        </w:trPr>
        <w:tc>
          <w:tcPr>
            <w:tcW w:w="891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4</w:t>
            </w:r>
          </w:p>
        </w:tc>
        <w:tc>
          <w:tcPr>
            <w:tcW w:w="1718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bCs/>
                <w:snapToGrid w:val="0"/>
                <w:kern w:val="2"/>
                <w:sz w:val="21"/>
                <w:szCs w:val="21"/>
              </w:rPr>
              <w:t>远程遥控开关</w:t>
            </w:r>
          </w:p>
        </w:tc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9</w:t>
            </w:r>
          </w:p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02" w:type="dxa"/>
            <w:tcBorders>
              <w:tl2br w:val="nil"/>
              <w:tr2bl w:val="nil"/>
            </w:tcBorders>
            <w:vAlign w:val="center"/>
          </w:tcPr>
          <w:p>
            <w:pPr>
              <w:pStyle w:val="172"/>
              <w:adjustRightInd w:val="0"/>
              <w:snapToGrid w:val="0"/>
              <w:ind w:leftChars="-46" w:left="-97" w:rightChars="-30" w:right="-63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  <w:tr>
        <w:trPr>
          <w:trHeight w:val="528"/>
        </w:trPr>
        <w:tc>
          <w:tcPr>
            <w:tcW w:w="260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98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总价</w:t>
            </w:r>
          </w:p>
        </w:tc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061" w:type="dxa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050" w:type="dxa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902" w:type="dxa"/>
            <w:tcBorders>
              <w:tl2br w:val="nil"/>
              <w:tr2bl w:val="nil"/>
            </w:tcBorders>
            <w:vAlign w:val="center"/>
          </w:tcPr>
          <w:p/>
        </w:tc>
      </w:tr>
    </w:tbl>
    <w:p>
      <w:pPr>
        <w:pStyle w:val="172"/>
        <w:adjustRightInd w:val="0"/>
        <w:snapToGrid w:val="0"/>
        <w:spacing w:line="360" w:lineRule="auto"/>
        <w:ind w:rightChars="50" w:right="105"/>
        <w:jc w:val="left"/>
        <w:rPr>
          <w:rFonts w:ascii="仿宋_GB2312" w:eastAsia="仿宋_GB2312" w:cs="仿宋_GB2312"/>
          <w:szCs w:val="21"/>
        </w:rPr>
      </w:pPr>
    </w:p>
    <w:p>
      <w:pPr>
        <w:pStyle w:val="172"/>
        <w:adjustRightInd w:val="0"/>
        <w:snapToGrid w:val="0"/>
        <w:spacing w:line="360" w:lineRule="auto"/>
        <w:ind w:rightChars="50" w:right="105" w:firstLineChars="200" w:firstLine="420"/>
        <w:jc w:val="left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注：此表中，总价应和</w:t>
      </w:r>
      <w:r>
        <w:rPr>
          <w:rFonts w:ascii="仿宋_GB2312" w:eastAsia="仿宋_GB2312" w:cs="仿宋_GB2312"/>
          <w:szCs w:val="21"/>
        </w:rPr>
        <w:t>报价单</w:t>
      </w:r>
      <w:r>
        <w:rPr>
          <w:rFonts w:ascii="仿宋_GB2312" w:eastAsia="仿宋_GB2312" w:cs="仿宋_GB2312" w:hint="eastAsia"/>
          <w:szCs w:val="21"/>
        </w:rPr>
        <w:t>的投标总价相一致。</w:t>
      </w:r>
    </w:p>
    <w:p>
      <w:pPr>
        <w:pStyle w:val="172"/>
        <w:adjustRightInd w:val="0"/>
        <w:snapToGrid w:val="0"/>
        <w:spacing w:line="360" w:lineRule="auto"/>
        <w:ind w:rightChars="50" w:right="105" w:firstLineChars="200" w:firstLine="420"/>
        <w:jc w:val="left"/>
        <w:rPr>
          <w:rFonts w:ascii="仿宋_GB2312" w:eastAsia="仿宋_GB2312" w:cs="仿宋_GB2312"/>
          <w:szCs w:val="21"/>
        </w:rPr>
      </w:pPr>
    </w:p>
    <w:p>
      <w:pPr>
        <w:pStyle w:val="172"/>
        <w:adjustRightInd w:val="0"/>
        <w:snapToGrid w:val="0"/>
        <w:spacing w:line="360" w:lineRule="auto"/>
        <w:ind w:rightChars="50" w:right="105"/>
        <w:jc w:val="left"/>
        <w:rPr>
          <w:rFonts w:ascii="仿宋_GB2312" w:eastAsia="仿宋_GB2312" w:cs="仿宋_GB2312"/>
          <w:szCs w:val="21"/>
        </w:rPr>
      </w:pPr>
    </w:p>
    <w:p>
      <w:pPr>
        <w:pStyle w:val="172"/>
        <w:adjustRightInd w:val="0"/>
        <w:snapToGrid w:val="0"/>
        <w:spacing w:line="360" w:lineRule="auto"/>
        <w:ind w:rightChars="50" w:right="105"/>
        <w:jc w:val="left"/>
        <w:rPr>
          <w:rFonts w:ascii="仿宋_GB2312" w:eastAsia="仿宋_GB2312" w:cs="仿宋_GB2312"/>
          <w:szCs w:val="21"/>
        </w:rPr>
      </w:pPr>
    </w:p>
    <w:p>
      <w:pPr>
        <w:pStyle w:val="172"/>
        <w:adjustRightInd w:val="0"/>
        <w:snapToGrid w:val="0"/>
        <w:spacing w:line="480" w:lineRule="auto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投标人名称（加盖单位公章）：</w:t>
      </w:r>
      <w:r>
        <w:rPr>
          <w:rFonts w:ascii="仿宋_GB2312" w:eastAsia="仿宋_GB2312" w:cs="仿宋_GB2312" w:hint="eastAsia"/>
          <w:u w:val="single"/>
        </w:rPr>
        <w:t xml:space="preserve">           </w:t>
      </w:r>
    </w:p>
    <w:p>
      <w:pPr>
        <w:pStyle w:val="172"/>
        <w:adjustRightInd w:val="0"/>
        <w:snapToGrid w:val="0"/>
        <w:spacing w:line="480" w:lineRule="auto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法定代表人（或</w:t>
      </w:r>
      <w:r>
        <w:rPr>
          <w:rFonts w:ascii="仿宋_GB2312" w:eastAsia="仿宋_GB2312" w:cs="仿宋_GB2312" w:hint="eastAsia"/>
          <w:szCs w:val="21"/>
        </w:rPr>
        <w:t>非法人组织负责人）或</w:t>
      </w:r>
      <w:r>
        <w:rPr>
          <w:rFonts w:ascii="仿宋_GB2312" w:eastAsia="仿宋_GB2312" w:cs="仿宋_GB2312" w:hint="eastAsia"/>
        </w:rPr>
        <w:t>其</w:t>
      </w:r>
      <w:r>
        <w:rPr>
          <w:rFonts w:ascii="仿宋_GB2312" w:eastAsia="仿宋_GB2312" w:cs="仿宋_GB2312" w:hint="eastAsia"/>
          <w:szCs w:val="21"/>
        </w:rPr>
        <w:t>授权</w:t>
      </w:r>
      <w:r>
        <w:rPr>
          <w:rFonts w:ascii="仿宋_GB2312" w:eastAsia="仿宋_GB2312" w:cs="仿宋_GB2312" w:hint="eastAsia"/>
        </w:rPr>
        <w:t>委托</w:t>
      </w:r>
      <w:r>
        <w:rPr>
          <w:rFonts w:ascii="仿宋_GB2312" w:eastAsia="仿宋_GB2312" w:cs="仿宋_GB2312" w:hint="eastAsia"/>
          <w:szCs w:val="21"/>
        </w:rPr>
        <w:t>人</w:t>
      </w:r>
      <w:r>
        <w:rPr>
          <w:rFonts w:ascii="仿宋_GB2312" w:eastAsia="仿宋_GB2312" w:cs="仿宋_GB2312" w:hint="eastAsia"/>
        </w:rPr>
        <w:t>(签字或盖章)：</w:t>
      </w:r>
      <w:r>
        <w:rPr>
          <w:rFonts w:ascii="仿宋_GB2312" w:eastAsia="仿宋_GB2312" w:cs="仿宋_GB2312" w:hint="eastAsia"/>
          <w:u w:val="single"/>
        </w:rPr>
        <w:t xml:space="preserve">           </w:t>
      </w:r>
    </w:p>
    <w:p>
      <w:pPr>
        <w:pStyle w:val="172"/>
        <w:adjustRightInd w:val="0"/>
        <w:snapToGrid w:val="0"/>
        <w:spacing w:line="480" w:lineRule="auto"/>
        <w:ind w:rightChars="50" w:right="105"/>
        <w:jc w:val="left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</w:rPr>
        <w:t>日期：</w:t>
      </w:r>
      <w:r>
        <w:rPr>
          <w:rFonts w:ascii="仿宋_GB2312" w:eastAsia="仿宋_GB2312" w:cs="仿宋_GB2312" w:hint="eastAsia"/>
          <w:u w:val="single"/>
        </w:rPr>
        <w:t xml:space="preserve">               </w:t>
      </w:r>
    </w:p>
    <w:p>
      <w:pPr>
        <w:keepNext w:val="0"/>
        <w:widowControl w:val="0"/>
        <w:adjustRightInd w:val="0"/>
        <w:snapToGrid w:val="0"/>
        <w:spacing w:line="360" w:lineRule="auto"/>
        <w:ind w:rightChars="50" w:right="105" w:firstLineChars="200" w:firstLine="420"/>
        <w:jc w:val="left"/>
        <w:rPr>
          <w:rFonts w:ascii="仿宋" w:cs="仿宋"/>
          <w:szCs w:val="21"/>
        </w:rPr>
      </w:pPr>
      <w:r>
        <w:rPr>
          <w:rFonts w:ascii="仿宋" w:cs="仿宋"/>
          <w:szCs w:val="21"/>
        </w:rPr>
        <w:br w:type="page"/>
      </w:r>
    </w:p>
    <w:p>
      <w:pPr>
        <w:adjustRightInd w:val="0"/>
        <w:snapToGrid w:val="0"/>
        <w:spacing w:line="360" w:lineRule="auto"/>
        <w:ind w:rightChars="50" w:right="105" w:firstLineChars="200" w:firstLine="420"/>
        <w:jc w:val="left"/>
        <w:rPr>
          <w:rFonts w:ascii="仿宋" w:cs="仿宋"/>
          <w:szCs w:val="21"/>
        </w:rPr>
      </w:pPr>
    </w:p>
    <w:p>
      <w:pPr>
        <w:pStyle w:val="149"/>
        <w:adjustRightInd w:val="0"/>
        <w:snapToGrid w:val="0"/>
        <w:spacing w:before="0" w:after="0" w:line="240" w:lineRule="auto"/>
        <w:jc w:val="left"/>
        <w:rPr>
          <w:rFonts w:ascii="仿宋_GB2312" w:eastAsia="仿宋_GB2312" w:cs="仿宋_GB2312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9</w:t>
      </w:r>
    </w:p>
    <w:p>
      <w:pPr>
        <w:pStyle w:val="150"/>
        <w:adjustRightInd w:val="0"/>
        <w:snapToGrid w:val="0"/>
        <w:spacing w:before="319" w:line="360" w:lineRule="auto"/>
        <w:ind w:rightChars="50" w:right="105"/>
        <w:jc w:val="center"/>
        <w:rPr>
          <w:rFonts w:ascii="仿宋_GB2312" w:eastAsia="仿宋_GB2312" w:cs="仿宋_GB2312"/>
          <w:b/>
          <w:bCs/>
          <w:sz w:val="32"/>
          <w:szCs w:val="32"/>
        </w:rPr>
      </w:pPr>
      <w:bookmarkStart w:id="12" w:name="_Toc31555_WPSOffice_Level2"/>
      <w:bookmarkStart w:id="13" w:name="_Toc9235_WPSOffice_Level2"/>
      <w:r>
        <w:rPr>
          <w:rFonts w:ascii="仿宋_GB2312" w:eastAsia="仿宋_GB2312" w:cs="仿宋_GB2312" w:hint="eastAsia"/>
          <w:b/>
          <w:bCs/>
          <w:sz w:val="32"/>
          <w:szCs w:val="32"/>
        </w:rPr>
        <w:t>技术规格偏离表</w:t>
      </w:r>
      <w:bookmarkEnd w:id="12"/>
      <w:bookmarkEnd w:id="13"/>
    </w:p>
    <w:tbl>
      <w:tblPr>
        <w:jc w:val="left"/>
        <w:tblInd w:w="0" w:type="dxa"/>
        <w:tblW w:w="87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3"/>
        <w:gridCol w:w="2310"/>
        <w:gridCol w:w="1186"/>
        <w:gridCol w:w="1125"/>
        <w:gridCol w:w="1091"/>
      </w:tblGrid>
      <w:tr>
        <w:trPr>
          <w:trHeight w:val="1140"/>
        </w:trPr>
        <w:tc>
          <w:tcPr>
            <w:tcW w:w="8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1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_GB2312" w:eastAsia="仿宋_GB2312" w:cs="仿宋_GB2312"/>
                <w:kern w:val="2"/>
                <w:sz w:val="21"/>
                <w:szCs w:val="21"/>
              </w:rPr>
            </w:pPr>
            <w:r>
              <w:rPr>
                <w:rFonts w:ascii="仿宋_GB2312" w:eastAsia="仿宋_GB2312" w:cs="仿宋_GB2312"/>
                <w:kern w:val="2"/>
                <w:sz w:val="21"/>
                <w:szCs w:val="21"/>
              </w:rPr>
              <w:t>品目1</w:t>
            </w:r>
          </w:p>
          <w:p>
            <w:pPr>
              <w:pStyle w:val="151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kern w:val="2"/>
                <w:sz w:val="21"/>
                <w:szCs w:val="21"/>
              </w:rPr>
              <w:t>产品名称：</w:t>
            </w:r>
            <w:r>
              <w:rPr>
                <w:rFonts w:ascii="仿宋_GB2312" w:eastAsia="仿宋_GB2312" w:cs="仿宋_GB2312" w:hint="eastAsia"/>
                <w:bCs/>
                <w:snapToGrid w:val="0"/>
                <w:kern w:val="2"/>
                <w:sz w:val="21"/>
                <w:szCs w:val="21"/>
              </w:rPr>
              <w:t>双通道闸机</w:t>
            </w:r>
          </w:p>
          <w:p>
            <w:pPr>
              <w:pStyle w:val="151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_GB2312" w:eastAsia="仿宋_GB2312" w:cs="仿宋_GB2312"/>
                <w:kern w:val="2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kern w:val="2"/>
                <w:sz w:val="21"/>
                <w:szCs w:val="21"/>
              </w:rPr>
              <w:t>数量：</w:t>
            </w:r>
            <w:r>
              <w:rPr>
                <w:rFonts w:ascii="仿宋_GB2312" w:eastAsia="仿宋_GB2312" w:cs="仿宋_GB2312"/>
                <w:kern w:val="2"/>
                <w:sz w:val="21"/>
                <w:szCs w:val="21"/>
              </w:rPr>
              <w:t>1套</w:t>
            </w:r>
          </w:p>
        </w:tc>
      </w:tr>
      <w:tr>
        <w:trPr>
          <w:trHeight w:val="1547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ind w:left="0" w:hanging="1"/>
              <w:rPr>
                <w:rFonts w:ascii="仿宋_GB2312" w:eastAsia="仿宋_GB2312" w:cs="仿宋_GB2312"/>
                <w:b/>
                <w:szCs w:val="21"/>
              </w:rPr>
            </w:pPr>
            <w:r>
              <w:rPr>
                <w:rFonts w:ascii="仿宋_GB2312" w:eastAsia="仿宋_GB2312" w:cs="仿宋_GB2312" w:hint="eastAsia"/>
                <w:b/>
                <w:sz w:val="18"/>
                <w:szCs w:val="18"/>
              </w:rPr>
              <w:t>（所有条款均为实质性要求不得负偏离，如果负偏离，则投标文件无效。）★标注</w:t>
            </w:r>
            <w:r>
              <w:rPr>
                <w:rFonts w:ascii="仿宋_GB2312" w:eastAsia="仿宋_GB2312" w:cs="仿宋_GB2312"/>
                <w:b/>
                <w:sz w:val="18"/>
                <w:szCs w:val="18"/>
              </w:rPr>
              <w:t>项必须提供证明材料，否则视为无效投标。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投标文件</w:t>
            </w:r>
          </w:p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响应内容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偏离程度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偏离说明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证明材料</w:t>
            </w:r>
          </w:p>
        </w:tc>
      </w:tr>
      <w:tr>
        <w:trPr>
          <w:trHeight w:val="2239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75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使用环境：室内</w:t>
            </w:r>
          </w:p>
          <w:p>
            <w:pPr>
              <w:pStyle w:val="175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电机类型：无刷直流伺服电机</w:t>
            </w:r>
          </w:p>
          <w:p>
            <w:pPr>
              <w:pStyle w:val="175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红外对数：6对</w:t>
            </w:r>
          </w:p>
          <w:p>
            <w:pPr>
              <w:pStyle w:val="175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产品尺寸：≥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2950mm且</w:t>
            </w: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≤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3050mm</w:t>
            </w:r>
          </w:p>
          <w:p>
            <w:pPr>
              <w:pStyle w:val="175"/>
              <w:jc w:val="left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通道宽度：550-950mm,以50mm为一档;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1307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07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箱体材质：SUS304拉丝不锈钢;</w:t>
            </w:r>
          </w:p>
          <w:p>
            <w:pPr>
              <w:pStyle w:val="207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门翼材质：亚克力或不锈钢;</w:t>
            </w:r>
          </w:p>
          <w:p>
            <w:pPr>
              <w:pStyle w:val="207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通行速率：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40-120</w:t>
            </w: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人/分钟，受人员情况和通行模式影响</w:t>
            </w:r>
          </w:p>
          <w:p>
            <w:pPr>
              <w:pStyle w:val="217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 xml:space="preserve">电源电压：AC 200-240 V，50/60Hz 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3154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10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整机功耗：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 xml:space="preserve"> </w:t>
            </w: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≤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300W</w:t>
            </w:r>
          </w:p>
          <w:p>
            <w:pPr>
              <w:pStyle w:val="210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工作温度：-20℃-+70℃;温度低于-20℃时增配加热模块可支持到-40℃</w:t>
            </w:r>
          </w:p>
          <w:p>
            <w:pPr>
              <w:pStyle w:val="211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工作湿度：0%至95%（不凝聚成水滴）外设选配：设备支持选配权限板、明眸、读卡器、二维码等多种外设，实现多样化的认证方式；</w:t>
            </w:r>
          </w:p>
        </w:tc>
        <w:tc>
          <w:tcPr>
            <w:tcW w:w="23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2523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04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通行模式：设备支持进出方向通行状态（受控、常开、常闭、感应、无障碍）的灵活配置</w:t>
            </w:r>
          </w:p>
          <w:p>
            <w:pPr>
              <w:pStyle w:val="204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交叉通行：一方通行后在未关门前对向认证通过，门翼保持不动，由对向人员通行结束门翼再关闭；</w:t>
            </w:r>
          </w:p>
          <w:p>
            <w:pPr>
              <w:pStyle w:val="204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管控模式：设备可根据实际管控需求设置警戒模式与宽松模式，默认为宽松模式；</w:t>
            </w:r>
          </w:p>
        </w:tc>
        <w:tc>
          <w:tcPr>
            <w:tcW w:w="23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1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10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</w:tr>
      <w:tr>
        <w:trPr>
          <w:trHeight w:val="6047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13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自动复位：设备具有自动复位功能，开门后在规定的时间内未通行，系统将自动取消用户的本次通行的权限，可设定通行时间；</w:t>
            </w:r>
          </w:p>
          <w:p>
            <w:pPr>
              <w:pStyle w:val="213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记忆模式：设备支持记忆模式，可实现连续快速通行；</w:t>
            </w:r>
          </w:p>
          <w:p>
            <w:pPr>
              <w:pStyle w:val="213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消防联动：设备具有消防联动接口，当消防信号触发时，门翼自动打开，快速引导人员疏散；</w:t>
            </w:r>
          </w:p>
          <w:p>
            <w:pPr>
              <w:pStyle w:val="213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 xml:space="preserve">断电通行：设备可选配超级电容，断电时门翼自动打开，人员可自由通行，防止恐慌； </w:t>
            </w:r>
          </w:p>
          <w:p>
            <w:pPr>
              <w:pStyle w:val="213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机械防夹：设备具备防夹功能，在门翼复位的过程中遇阻时电机自动停止工作,防止人员受伤；</w:t>
            </w:r>
          </w:p>
          <w:p>
            <w:pPr>
              <w:pStyle w:val="213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红外防夹：设备具备红外防夹功能，在门翼复位的过程中检测到红外触发时电机自动停止工作,防止人员受伤；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1738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15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防冲撞：设备具备防冲撞功能，在没有接收到开门信号时，若受到不超过40N•m的冲击力，门翼保持锁止状态；</w:t>
            </w:r>
          </w:p>
          <w:p>
            <w:pPr>
              <w:pStyle w:val="215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人数统计：设备支持人数统计功能配置，可实时获取设备进出方向总人数；</w:t>
            </w:r>
          </w:p>
          <w:p>
            <w:pPr>
              <w:pStyle w:val="215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 xml:space="preserve"> 人机互动：在不同的通行状态下，设备不同的灯光呈现不同的状态进行区分</w:t>
            </w:r>
          </w:p>
          <w:p>
            <w:pPr>
              <w:pStyle w:val="215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灯效显示：无门翼灯；闸机指示灯绿红双色亮度可以自定义调节，符合环境要求；</w:t>
            </w:r>
          </w:p>
          <w:p>
            <w:pPr>
              <w:pStyle w:val="213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语音控制：标配仅播报固定声音，设备支持语音播报各类异常通行事件如尾随、反向通行、翻越等；配置权限板时具备文字转语音（TTS）和语音合成技术；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1290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left="0" w:hanging="1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其它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采购单位未提供需求而投标人认为需说明及补充的内容在此填列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</w:tbl>
    <w:p>
      <w:pPr>
        <w:pStyle w:val="150"/>
        <w:adjustRightInd w:val="0"/>
        <w:snapToGrid w:val="0"/>
        <w:spacing w:line="360" w:lineRule="auto"/>
        <w:ind w:rightChars="50" w:right="105"/>
        <w:jc w:val="left"/>
        <w:rPr>
          <w:rFonts w:ascii="仿宋_GB2312" w:eastAsia="仿宋_GB2312" w:cs="仿宋_GB2312"/>
          <w:b/>
          <w:szCs w:val="21"/>
        </w:rPr>
      </w:pPr>
      <w:r>
        <w:rPr>
          <w:rFonts w:ascii="仿宋_GB2312" w:eastAsia="仿宋_GB2312" w:cs="仿宋_GB2312" w:hint="eastAsia"/>
          <w:b/>
          <w:szCs w:val="21"/>
        </w:rPr>
        <w:t>填表要求：</w:t>
      </w:r>
    </w:p>
    <w:p>
      <w:pPr>
        <w:pStyle w:val="150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1．“投标文件响应内容”一栏由投标人按照招标文件要求填写并进行逐项响应。</w:t>
      </w:r>
    </w:p>
    <w:p>
      <w:pPr>
        <w:pStyle w:val="150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2．“偏离程度”一栏根据“投标文件响应内容”与招标文件逐项对照的结果填写。偏离必须用 “正偏离、负偏离或无偏离”三个名称中的一种进行标注。</w:t>
      </w:r>
    </w:p>
    <w:p>
      <w:pPr>
        <w:pStyle w:val="150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3．“偏离说明”一栏由投标人对偏离的情况做详细说明。</w:t>
      </w:r>
    </w:p>
    <w:p>
      <w:pPr>
        <w:pStyle w:val="150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</w:p>
    <w:p>
      <w:pPr>
        <w:pStyle w:val="150"/>
        <w:snapToGrid w:val="0"/>
        <w:spacing w:line="480" w:lineRule="auto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投标人名称（加盖单位公章）：</w:t>
      </w:r>
      <w:r>
        <w:rPr>
          <w:rFonts w:ascii="仿宋_GB2312" w:eastAsia="仿宋_GB2312" w:cs="仿宋_GB2312" w:hint="eastAsia"/>
          <w:u w:val="single"/>
        </w:rPr>
        <w:t xml:space="preserve">           </w:t>
      </w:r>
    </w:p>
    <w:p>
      <w:pPr>
        <w:pStyle w:val="150"/>
        <w:snapToGrid w:val="0"/>
        <w:spacing w:line="480" w:lineRule="auto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法定代表人（或</w:t>
      </w:r>
      <w:r>
        <w:rPr>
          <w:rFonts w:ascii="仿宋_GB2312" w:eastAsia="仿宋_GB2312" w:cs="仿宋_GB2312" w:hint="eastAsia"/>
          <w:szCs w:val="21"/>
        </w:rPr>
        <w:t>非法人组织负责人）或</w:t>
      </w:r>
      <w:r>
        <w:rPr>
          <w:rFonts w:ascii="仿宋_GB2312" w:eastAsia="仿宋_GB2312" w:cs="仿宋_GB2312" w:hint="eastAsia"/>
        </w:rPr>
        <w:t>其</w:t>
      </w:r>
      <w:r>
        <w:rPr>
          <w:rFonts w:ascii="仿宋_GB2312" w:eastAsia="仿宋_GB2312" w:cs="仿宋_GB2312" w:hint="eastAsia"/>
          <w:szCs w:val="21"/>
        </w:rPr>
        <w:t>授权</w:t>
      </w:r>
      <w:r>
        <w:rPr>
          <w:rFonts w:ascii="仿宋_GB2312" w:eastAsia="仿宋_GB2312" w:cs="仿宋_GB2312" w:hint="eastAsia"/>
        </w:rPr>
        <w:t>委托</w:t>
      </w:r>
      <w:r>
        <w:rPr>
          <w:rFonts w:ascii="仿宋_GB2312" w:eastAsia="仿宋_GB2312" w:cs="仿宋_GB2312" w:hint="eastAsia"/>
          <w:szCs w:val="21"/>
        </w:rPr>
        <w:t>人</w:t>
      </w:r>
      <w:r>
        <w:rPr>
          <w:rFonts w:ascii="仿宋_GB2312" w:eastAsia="仿宋_GB2312" w:cs="仿宋_GB2312" w:hint="eastAsia"/>
        </w:rPr>
        <w:t>(签字或盖章)：</w:t>
      </w:r>
      <w:r>
        <w:rPr>
          <w:rFonts w:ascii="仿宋_GB2312" w:eastAsia="仿宋_GB2312" w:cs="仿宋_GB2312" w:hint="eastAsia"/>
          <w:u w:val="single"/>
        </w:rPr>
        <w:t xml:space="preserve">           </w:t>
      </w:r>
    </w:p>
    <w:p>
      <w:pPr>
        <w:pStyle w:val="150"/>
        <w:adjustRightInd w:val="0"/>
        <w:snapToGrid w:val="0"/>
        <w:spacing w:line="480" w:lineRule="auto"/>
        <w:ind w:rightChars="50" w:right="105"/>
        <w:jc w:val="left"/>
        <w:rPr>
          <w:rFonts w:ascii="仿宋_GB2312" w:eastAsia="仿宋_GB2312" w:cs="仿宋_GB2312"/>
          <w:szCs w:val="21"/>
          <w:u w:val="single"/>
        </w:rPr>
      </w:pPr>
      <w:r>
        <w:rPr>
          <w:rFonts w:ascii="仿宋_GB2312" w:eastAsia="仿宋_GB2312" w:cs="仿宋_GB2312" w:hint="eastAsia"/>
        </w:rPr>
        <w:t>日期：</w:t>
      </w:r>
      <w:r>
        <w:rPr>
          <w:rFonts w:ascii="仿宋_GB2312" w:eastAsia="仿宋_GB2312" w:cs="仿宋_GB2312" w:hint="eastAsia"/>
          <w:u w:val="single"/>
        </w:rPr>
        <w:t xml:space="preserve">               </w:t>
      </w:r>
    </w:p>
    <w:p>
      <w:pPr>
        <w:pStyle w:val="176"/>
        <w:adjustRightInd w:val="0"/>
        <w:snapToGrid w:val="0"/>
        <w:spacing w:before="319" w:line="360" w:lineRule="auto"/>
        <w:ind w:rightChars="50" w:right="105"/>
        <w:jc w:val="center"/>
        <w:rPr>
          <w:rFonts w:ascii="仿宋_GB2312" w:eastAsia="仿宋_GB2312" w:cs="仿宋_GB2312"/>
          <w:b/>
          <w:bCs/>
          <w:sz w:val="32"/>
          <w:szCs w:val="32"/>
        </w:rPr>
      </w:pPr>
      <w:r>
        <w:rPr>
          <w:rFonts w:ascii="仿宋_GB2312" w:eastAsia="仿宋_GB2312" w:cs="仿宋_GB2312" w:hint="eastAsia"/>
          <w:b w:val="0"/>
          <w:szCs w:val="28"/>
        </w:rPr>
        <w:br w:type="page"/>
      </w:r>
      <w:r>
        <w:rPr>
          <w:rFonts w:ascii="仿宋_GB2312" w:eastAsia="仿宋_GB2312" w:cs="仿宋_GB2312" w:hint="eastAsia"/>
          <w:b/>
          <w:bCs/>
          <w:sz w:val="32"/>
          <w:szCs w:val="32"/>
        </w:rPr>
        <w:t>技术规格偏离表</w:t>
      </w:r>
    </w:p>
    <w:tbl>
      <w:tblPr>
        <w:jc w:val="left"/>
        <w:tblInd w:w="0" w:type="dxa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3"/>
        <w:gridCol w:w="2310"/>
        <w:gridCol w:w="1186"/>
        <w:gridCol w:w="1125"/>
        <w:gridCol w:w="1091"/>
      </w:tblGrid>
      <w:tr>
        <w:trPr>
          <w:trHeight w:val="822"/>
        </w:trPr>
        <w:tc>
          <w:tcPr>
            <w:tcW w:w="87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77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_GB2312" w:eastAsia="仿宋_GB2312" w:cs="仿宋_GB2312"/>
                <w:kern w:val="2"/>
                <w:sz w:val="21"/>
                <w:szCs w:val="21"/>
              </w:rPr>
            </w:pPr>
            <w:r>
              <w:rPr>
                <w:rFonts w:ascii="仿宋_GB2312" w:eastAsia="仿宋_GB2312" w:cs="仿宋_GB2312"/>
                <w:kern w:val="2"/>
                <w:sz w:val="21"/>
                <w:szCs w:val="21"/>
              </w:rPr>
              <w:t>品目2</w:t>
            </w:r>
          </w:p>
          <w:p>
            <w:pPr>
              <w:pStyle w:val="177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kern w:val="2"/>
                <w:sz w:val="21"/>
                <w:szCs w:val="21"/>
              </w:rPr>
              <w:t>产品名称：</w:t>
            </w:r>
            <w:r>
              <w:rPr>
                <w:rFonts w:ascii="仿宋_GB2312" w:eastAsia="仿宋_GB2312" w:cs="仿宋_GB2312" w:hint="eastAsia"/>
                <w:bCs/>
                <w:snapToGrid w:val="0"/>
                <w:kern w:val="2"/>
                <w:sz w:val="21"/>
                <w:szCs w:val="21"/>
              </w:rPr>
              <w:t>单通道闸机</w:t>
            </w:r>
          </w:p>
          <w:p>
            <w:pPr>
              <w:pStyle w:val="177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_GB2312" w:eastAsia="仿宋_GB2312" w:cs="仿宋_GB2312"/>
                <w:kern w:val="2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kern w:val="2"/>
                <w:sz w:val="21"/>
                <w:szCs w:val="21"/>
              </w:rPr>
              <w:t>数量：</w:t>
            </w:r>
            <w:r>
              <w:rPr>
                <w:rFonts w:ascii="仿宋_GB2312" w:eastAsia="仿宋_GB2312" w:cs="仿宋_GB2312"/>
                <w:kern w:val="2"/>
                <w:sz w:val="21"/>
                <w:szCs w:val="21"/>
              </w:rPr>
              <w:t>2套</w:t>
            </w:r>
          </w:p>
        </w:tc>
      </w:tr>
      <w:tr>
        <w:trPr>
          <w:trHeight w:val="1547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76"/>
              <w:ind w:left="0" w:hanging="1"/>
              <w:rPr>
                <w:rFonts w:ascii="仿宋_GB2312" w:eastAsia="仿宋_GB2312" w:cs="仿宋_GB2312"/>
                <w:b/>
                <w:szCs w:val="21"/>
              </w:rPr>
            </w:pPr>
            <w:r>
              <w:rPr>
                <w:rFonts w:ascii="仿宋_GB2312" w:eastAsia="仿宋_GB2312" w:cs="仿宋_GB2312" w:hint="eastAsia"/>
                <w:b/>
                <w:sz w:val="18"/>
                <w:szCs w:val="18"/>
              </w:rPr>
              <w:t>（所有条款均为实质性要求不得负偏离，如果负偏离，则投标文件无效。）★标注</w:t>
            </w:r>
            <w:r>
              <w:rPr>
                <w:rFonts w:ascii="仿宋_GB2312" w:eastAsia="仿宋_GB2312" w:cs="仿宋_GB2312"/>
                <w:b/>
                <w:sz w:val="18"/>
                <w:szCs w:val="18"/>
              </w:rPr>
              <w:t>项必须提供证明材料，否则视为无效投标。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76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投标文件</w:t>
            </w:r>
          </w:p>
          <w:p>
            <w:pPr>
              <w:pStyle w:val="176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响应内容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76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偏离程度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76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偏离说明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76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证明材料</w:t>
            </w:r>
          </w:p>
        </w:tc>
      </w:tr>
      <w:tr>
        <w:trPr>
          <w:trHeight w:val="830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1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使用环境：室内</w:t>
            </w:r>
          </w:p>
          <w:p>
            <w:pPr>
              <w:pStyle w:val="21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电机类型：无刷直流伺服电机</w:t>
            </w:r>
          </w:p>
          <w:p>
            <w:pPr>
              <w:pStyle w:val="21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红外对数：6对</w:t>
            </w:r>
          </w:p>
          <w:p>
            <w:pPr>
              <w:pStyle w:val="21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产品尺寸：≥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1850mm，</w:t>
            </w: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≤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1950cm</w:t>
            </w:r>
          </w:p>
          <w:p>
            <w:pPr>
              <w:pStyle w:val="219"/>
              <w:jc w:val="left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通道宽度：550-950mm,以50mm为一档;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76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76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76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76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2110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18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箱体材质：SUS304拉丝不锈钢;</w:t>
            </w:r>
          </w:p>
          <w:p>
            <w:pPr>
              <w:pStyle w:val="218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门翼材质：亚克力或不锈钢;</w:t>
            </w:r>
          </w:p>
          <w:p>
            <w:pPr>
              <w:pStyle w:val="218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通行速率：20-60人/分钟，受人员情况和通行模式影响</w:t>
            </w:r>
          </w:p>
          <w:p>
            <w:pPr>
              <w:pStyle w:val="218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电源电压：AC 200-240 V，50/60 Hz</w:t>
            </w:r>
          </w:p>
          <w:p>
            <w:pPr>
              <w:pStyle w:val="218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整机功耗：≤145W</w:t>
            </w:r>
          </w:p>
          <w:p>
            <w:pPr>
              <w:pStyle w:val="218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工作温度：-20℃-+70℃;温度低于-20℃时增配加热模块可支持到-40℃</w:t>
            </w:r>
          </w:p>
          <w:p>
            <w:pPr>
              <w:pStyle w:val="176"/>
              <w:tabs>
                <w:tab w:val="left" w:pos="0"/>
              </w:tabs>
              <w:spacing w:line="240" w:lineRule="exact"/>
              <w:jc w:val="left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工作湿度：0%至95%（不凝聚成水滴）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76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76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76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76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1290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76"/>
              <w:adjustRightInd w:val="0"/>
              <w:snapToGrid w:val="0"/>
              <w:ind w:left="0" w:hanging="1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其它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76"/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采购单位未提供需求而投标人认为需说明及补充的内容在此填列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76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76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76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</w:tbl>
    <w:p>
      <w:pPr>
        <w:pStyle w:val="176"/>
        <w:adjustRightInd w:val="0"/>
        <w:snapToGrid w:val="0"/>
        <w:spacing w:line="360" w:lineRule="auto"/>
        <w:ind w:rightChars="50" w:right="105"/>
        <w:jc w:val="left"/>
        <w:rPr>
          <w:rFonts w:ascii="仿宋_GB2312" w:eastAsia="仿宋_GB2312" w:cs="仿宋_GB2312"/>
          <w:b/>
          <w:szCs w:val="21"/>
        </w:rPr>
      </w:pPr>
      <w:r>
        <w:rPr>
          <w:rFonts w:ascii="仿宋_GB2312" w:eastAsia="仿宋_GB2312" w:cs="仿宋_GB2312" w:hint="eastAsia"/>
          <w:b/>
          <w:szCs w:val="21"/>
        </w:rPr>
        <w:t>填表要求：</w:t>
      </w:r>
    </w:p>
    <w:p>
      <w:pPr>
        <w:pStyle w:val="176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1．“投标文件响应内容”一栏由投标人按照招标文件要求填写并进行逐项响应。</w:t>
      </w:r>
    </w:p>
    <w:p>
      <w:pPr>
        <w:pStyle w:val="176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2．“偏离程度”一栏根据“投标文件响应内容”与招标文件逐项对照的结果填写。偏离必须用 “正偏离、负偏离或无偏离”三个名称中的一种进行标注。</w:t>
      </w:r>
    </w:p>
    <w:p>
      <w:pPr>
        <w:pStyle w:val="176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3．“偏离说明”一栏由投标人对偏离的情况做详细说明。</w:t>
      </w:r>
    </w:p>
    <w:p>
      <w:pPr>
        <w:pStyle w:val="176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</w:p>
    <w:p>
      <w:pPr>
        <w:pStyle w:val="176"/>
        <w:snapToGrid w:val="0"/>
        <w:spacing w:line="480" w:lineRule="auto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投标人名称（加盖单位公章）：</w:t>
      </w:r>
      <w:r>
        <w:rPr>
          <w:rFonts w:ascii="仿宋_GB2312" w:eastAsia="仿宋_GB2312" w:cs="仿宋_GB2312" w:hint="eastAsia"/>
          <w:u w:val="single"/>
        </w:rPr>
        <w:t xml:space="preserve">           </w:t>
      </w:r>
    </w:p>
    <w:p>
      <w:pPr>
        <w:pStyle w:val="176"/>
        <w:snapToGrid w:val="0"/>
        <w:spacing w:line="480" w:lineRule="auto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法定代表人（或</w:t>
      </w:r>
      <w:r>
        <w:rPr>
          <w:rFonts w:ascii="仿宋_GB2312" w:eastAsia="仿宋_GB2312" w:cs="仿宋_GB2312" w:hint="eastAsia"/>
          <w:szCs w:val="21"/>
        </w:rPr>
        <w:t>非法人组织负责人）或</w:t>
      </w:r>
      <w:r>
        <w:rPr>
          <w:rFonts w:ascii="仿宋_GB2312" w:eastAsia="仿宋_GB2312" w:cs="仿宋_GB2312" w:hint="eastAsia"/>
        </w:rPr>
        <w:t>其</w:t>
      </w:r>
      <w:r>
        <w:rPr>
          <w:rFonts w:ascii="仿宋_GB2312" w:eastAsia="仿宋_GB2312" w:cs="仿宋_GB2312" w:hint="eastAsia"/>
          <w:szCs w:val="21"/>
        </w:rPr>
        <w:t>授权</w:t>
      </w:r>
      <w:r>
        <w:rPr>
          <w:rFonts w:ascii="仿宋_GB2312" w:eastAsia="仿宋_GB2312" w:cs="仿宋_GB2312" w:hint="eastAsia"/>
        </w:rPr>
        <w:t>委托</w:t>
      </w:r>
      <w:r>
        <w:rPr>
          <w:rFonts w:ascii="仿宋_GB2312" w:eastAsia="仿宋_GB2312" w:cs="仿宋_GB2312" w:hint="eastAsia"/>
          <w:szCs w:val="21"/>
        </w:rPr>
        <w:t>人</w:t>
      </w:r>
      <w:r>
        <w:rPr>
          <w:rFonts w:ascii="仿宋_GB2312" w:eastAsia="仿宋_GB2312" w:cs="仿宋_GB2312" w:hint="eastAsia"/>
        </w:rPr>
        <w:t>(签字或盖章)：</w:t>
      </w:r>
      <w:r>
        <w:rPr>
          <w:rFonts w:ascii="仿宋_GB2312" w:eastAsia="仿宋_GB2312" w:cs="仿宋_GB2312" w:hint="eastAsia"/>
          <w:u w:val="single"/>
        </w:rPr>
        <w:t xml:space="preserve">           </w:t>
      </w:r>
    </w:p>
    <w:p>
      <w:pPr>
        <w:pStyle w:val="176"/>
        <w:adjustRightInd w:val="0"/>
        <w:snapToGrid w:val="0"/>
        <w:spacing w:line="480" w:lineRule="auto"/>
        <w:ind w:rightChars="50" w:right="105"/>
        <w:jc w:val="left"/>
        <w:rPr>
          <w:rFonts w:ascii="仿宋_GB2312" w:eastAsia="仿宋_GB2312" w:cs="仿宋_GB2312"/>
          <w:szCs w:val="21"/>
          <w:u w:val="single"/>
        </w:rPr>
      </w:pPr>
      <w:r>
        <w:rPr>
          <w:rFonts w:ascii="仿宋_GB2312" w:eastAsia="仿宋_GB2312" w:cs="仿宋_GB2312" w:hint="eastAsia"/>
        </w:rPr>
        <w:t>日期：</w:t>
      </w:r>
      <w:r>
        <w:rPr>
          <w:rFonts w:ascii="仿宋_GB2312" w:eastAsia="仿宋_GB2312" w:cs="仿宋_GB2312" w:hint="eastAsia"/>
          <w:u w:val="single"/>
        </w:rPr>
        <w:t xml:space="preserve">               </w:t>
      </w:r>
    </w:p>
    <w:p>
      <w:pPr>
        <w:pStyle w:val="149"/>
        <w:adjustRightInd w:val="0"/>
        <w:snapToGrid w:val="0"/>
        <w:spacing w:before="0" w:after="0" w:line="240" w:lineRule="auto"/>
        <w:jc w:val="left"/>
        <w:rPr>
          <w:rFonts w:ascii="仿宋_GB2312" w:eastAsia="仿宋_GB2312" w:cs="仿宋_GB2312"/>
          <w:b w:val="0"/>
          <w:szCs w:val="28"/>
        </w:rPr>
      </w:pPr>
    </w:p>
    <w:p>
      <w:pPr>
        <w:pStyle w:val="183"/>
        <w:adjustRightInd w:val="0"/>
        <w:snapToGrid w:val="0"/>
        <w:spacing w:before="319" w:line="360" w:lineRule="auto"/>
        <w:ind w:rightChars="50" w:right="105"/>
        <w:jc w:val="center"/>
        <w:rPr>
          <w:rFonts w:ascii="仿宋_GB2312" w:eastAsia="仿宋_GB2312" w:cs="仿宋_GB2312"/>
          <w:b/>
          <w:bCs/>
          <w:sz w:val="32"/>
          <w:szCs w:val="32"/>
        </w:rPr>
      </w:pPr>
      <w:r>
        <w:rPr>
          <w:rFonts w:ascii="仿宋_GB2312" w:eastAsia="仿宋_GB2312" w:cs="仿宋_GB2312" w:hint="eastAsia"/>
          <w:b/>
          <w:bCs/>
          <w:sz w:val="32"/>
          <w:szCs w:val="32"/>
        </w:rPr>
        <w:t>技术规格偏离表</w:t>
      </w:r>
    </w:p>
    <w:tbl>
      <w:tblPr>
        <w:jc w:val="left"/>
        <w:tblInd w:w="0" w:type="dxa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3"/>
        <w:gridCol w:w="2310"/>
        <w:gridCol w:w="1186"/>
        <w:gridCol w:w="1125"/>
        <w:gridCol w:w="1091"/>
      </w:tblGrid>
      <w:tr>
        <w:trPr>
          <w:trHeight w:val="1140"/>
        </w:trPr>
        <w:tc>
          <w:tcPr>
            <w:tcW w:w="87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4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_GB2312" w:eastAsia="仿宋_GB2312" w:cs="仿宋_GB2312"/>
                <w:kern w:val="2"/>
                <w:sz w:val="21"/>
                <w:szCs w:val="21"/>
              </w:rPr>
            </w:pPr>
            <w:r>
              <w:rPr>
                <w:rFonts w:ascii="仿宋_GB2312" w:eastAsia="仿宋_GB2312" w:cs="仿宋_GB2312"/>
                <w:kern w:val="2"/>
                <w:sz w:val="21"/>
                <w:szCs w:val="21"/>
              </w:rPr>
              <w:t>品目3</w:t>
            </w:r>
          </w:p>
          <w:p>
            <w:pPr>
              <w:pStyle w:val="184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_GB2312" w:eastAsia="仿宋_GB2312" w:cs="仿宋_GB2312" w:hint="eastAsia"/>
                <w:bCs/>
                <w:snapToGrid w:val="0"/>
                <w:kern w:val="2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kern w:val="2"/>
                <w:sz w:val="21"/>
                <w:szCs w:val="21"/>
              </w:rPr>
              <w:t>产品名称：</w:t>
            </w:r>
            <w:r>
              <w:rPr>
                <w:rFonts w:ascii="仿宋_GB2312" w:eastAsia="仿宋_GB2312" w:cs="仿宋_GB2312" w:hint="eastAsia"/>
                <w:bCs/>
                <w:snapToGrid w:val="0"/>
                <w:kern w:val="2"/>
                <w:sz w:val="21"/>
                <w:szCs w:val="21"/>
              </w:rPr>
              <w:t>人脸识别门禁设备</w:t>
            </w:r>
          </w:p>
          <w:p>
            <w:pPr>
              <w:pStyle w:val="184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_GB2312" w:eastAsia="仿宋_GB2312" w:cs="仿宋_GB2312"/>
                <w:kern w:val="2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kern w:val="2"/>
                <w:sz w:val="21"/>
                <w:szCs w:val="21"/>
              </w:rPr>
              <w:t>数量：</w:t>
            </w:r>
            <w:r>
              <w:rPr>
                <w:rFonts w:ascii="仿宋_GB2312" w:eastAsia="仿宋_GB2312" w:cs="仿宋_GB2312"/>
                <w:kern w:val="2"/>
                <w:sz w:val="21"/>
                <w:szCs w:val="21"/>
              </w:rPr>
              <w:t>6套</w:t>
            </w:r>
          </w:p>
        </w:tc>
      </w:tr>
      <w:tr>
        <w:trPr>
          <w:trHeight w:val="1547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3"/>
              <w:ind w:left="0" w:hanging="1"/>
              <w:rPr>
                <w:rFonts w:ascii="仿宋_GB2312" w:eastAsia="仿宋_GB2312" w:cs="仿宋_GB2312"/>
                <w:b/>
                <w:szCs w:val="21"/>
              </w:rPr>
            </w:pPr>
            <w:r>
              <w:rPr>
                <w:rFonts w:ascii="仿宋_GB2312" w:eastAsia="仿宋_GB2312" w:cs="仿宋_GB2312" w:hint="eastAsia"/>
                <w:b/>
                <w:sz w:val="18"/>
                <w:szCs w:val="18"/>
              </w:rPr>
              <w:t>（所有条款均为实质性要求不得负偏离，如果负偏离，则投标文件无效。）★标注</w:t>
            </w:r>
            <w:r>
              <w:rPr>
                <w:rFonts w:ascii="仿宋_GB2312" w:eastAsia="仿宋_GB2312" w:cs="仿宋_GB2312"/>
                <w:b/>
                <w:sz w:val="18"/>
                <w:szCs w:val="18"/>
              </w:rPr>
              <w:t>项必须提供证明材料，否则视为无效投标。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3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投标文件</w:t>
            </w:r>
          </w:p>
          <w:p>
            <w:pPr>
              <w:pStyle w:val="183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响应内容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3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偏离程度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3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偏离说明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3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证明材料</w:t>
            </w:r>
          </w:p>
        </w:tc>
      </w:tr>
      <w:tr>
        <w:trPr>
          <w:trHeight w:val="746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0"/>
              <w:jc w:val="left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操作系统：嵌入式Linux操作系统；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3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3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3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3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4484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8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屏幕参数： 7英寸LCD触摸显示屏，屏幕比例9:16，屏幕分辨率600*1024；</w:t>
            </w:r>
          </w:p>
          <w:p>
            <w:pPr>
              <w:pStyle w:val="188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摄像头参数：采用宽动态200万双目摄像头；</w:t>
            </w:r>
          </w:p>
          <w:p>
            <w:pPr>
              <w:pStyle w:val="188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认证方式：支持人脸、密码、二维码（通过摄像头识别）认证方式，可通过 485 接口外接读卡器，也通过 USB 接口外接身份证，实现人证比对功能；</w:t>
            </w:r>
          </w:p>
          <w:p>
            <w:pPr>
              <w:pStyle w:val="188"/>
              <w:jc w:val="left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人脸识别：采用深度学习算法，支持照片、视频防假；1:N人脸识别速度≤0.2s，人脸验证准确率≥99%；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3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3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3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3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3411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1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存储容量：本地支持50000张人脸、50000张卡（外接读卡器），100000条事件记录；</w:t>
            </w:r>
          </w:p>
          <w:p>
            <w:pPr>
              <w:pStyle w:val="221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硬件接口：LAN*1、RS485*1、韦根*1（双向 26/34）、USB*1、电锁*1、门磁*1、报警输入*2、报警输出*1、开门按钮*1；</w:t>
            </w:r>
          </w:p>
          <w:p>
            <w:pPr>
              <w:pStyle w:val="221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通信方式：有线网络、WiFi；</w:t>
            </w:r>
          </w:p>
          <w:p>
            <w:pPr>
              <w:pStyle w:val="221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使用环境：IP65，室内外环境；</w:t>
            </w:r>
          </w:p>
          <w:p>
            <w:pPr>
              <w:pStyle w:val="221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安装方式：配合人员通道安装；</w:t>
            </w:r>
          </w:p>
          <w:p>
            <w:pPr>
              <w:pStyle w:val="188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工作电压： DC 12V/2A；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3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3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3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3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1290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3"/>
              <w:adjustRightInd w:val="0"/>
              <w:snapToGrid w:val="0"/>
              <w:ind w:left="0" w:hanging="1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其它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3"/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采购单位未提供需求而投标人认为需说明及补充的内容在此填列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3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3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3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</w:tbl>
    <w:p>
      <w:pPr>
        <w:pStyle w:val="183"/>
        <w:adjustRightInd w:val="0"/>
        <w:snapToGrid w:val="0"/>
        <w:spacing w:line="360" w:lineRule="auto"/>
        <w:ind w:rightChars="50" w:right="105"/>
        <w:jc w:val="left"/>
        <w:rPr>
          <w:rFonts w:ascii="仿宋_GB2312" w:eastAsia="仿宋_GB2312" w:cs="仿宋_GB2312"/>
          <w:b/>
          <w:szCs w:val="21"/>
        </w:rPr>
      </w:pPr>
      <w:r>
        <w:rPr>
          <w:rFonts w:ascii="仿宋_GB2312" w:eastAsia="仿宋_GB2312" w:cs="仿宋_GB2312" w:hint="eastAsia"/>
          <w:b/>
          <w:szCs w:val="21"/>
        </w:rPr>
        <w:t>填表要求：</w:t>
      </w:r>
    </w:p>
    <w:p>
      <w:pPr>
        <w:pStyle w:val="183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1．“投标文件响应内容”一栏由投标人按照招标文件要求填写并进行逐项响应。</w:t>
      </w:r>
    </w:p>
    <w:p>
      <w:pPr>
        <w:pStyle w:val="183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2．“偏离程度”一栏根据“投标文件响应内容”与招标文件逐项对照的结果填写。偏离必须用 “正偏离、负偏离或无偏离”三个名称中的一种进行标注。</w:t>
      </w:r>
    </w:p>
    <w:p>
      <w:pPr>
        <w:pStyle w:val="183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3．“偏离说明”一栏由投标人对偏离的情况做详细说明。</w:t>
      </w:r>
    </w:p>
    <w:p>
      <w:pPr>
        <w:pStyle w:val="183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</w:p>
    <w:p>
      <w:pPr>
        <w:pStyle w:val="183"/>
        <w:snapToGrid w:val="0"/>
        <w:spacing w:line="480" w:lineRule="auto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投标人名称（加盖单位公章）：</w:t>
      </w:r>
      <w:r>
        <w:rPr>
          <w:rFonts w:ascii="仿宋_GB2312" w:eastAsia="仿宋_GB2312" w:cs="仿宋_GB2312" w:hint="eastAsia"/>
          <w:u w:val="single"/>
        </w:rPr>
        <w:t xml:space="preserve">           </w:t>
      </w:r>
    </w:p>
    <w:p>
      <w:pPr>
        <w:pStyle w:val="183"/>
        <w:snapToGrid w:val="0"/>
        <w:spacing w:line="480" w:lineRule="auto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法定代表人（或</w:t>
      </w:r>
      <w:r>
        <w:rPr>
          <w:rFonts w:ascii="仿宋_GB2312" w:eastAsia="仿宋_GB2312" w:cs="仿宋_GB2312" w:hint="eastAsia"/>
          <w:szCs w:val="21"/>
        </w:rPr>
        <w:t>非法人组织负责人）或</w:t>
      </w:r>
      <w:r>
        <w:rPr>
          <w:rFonts w:ascii="仿宋_GB2312" w:eastAsia="仿宋_GB2312" w:cs="仿宋_GB2312" w:hint="eastAsia"/>
        </w:rPr>
        <w:t>其</w:t>
      </w:r>
      <w:r>
        <w:rPr>
          <w:rFonts w:ascii="仿宋_GB2312" w:eastAsia="仿宋_GB2312" w:cs="仿宋_GB2312" w:hint="eastAsia"/>
          <w:szCs w:val="21"/>
        </w:rPr>
        <w:t>授权</w:t>
      </w:r>
      <w:r>
        <w:rPr>
          <w:rFonts w:ascii="仿宋_GB2312" w:eastAsia="仿宋_GB2312" w:cs="仿宋_GB2312" w:hint="eastAsia"/>
        </w:rPr>
        <w:t>委托</w:t>
      </w:r>
      <w:r>
        <w:rPr>
          <w:rFonts w:ascii="仿宋_GB2312" w:eastAsia="仿宋_GB2312" w:cs="仿宋_GB2312" w:hint="eastAsia"/>
          <w:szCs w:val="21"/>
        </w:rPr>
        <w:t>人</w:t>
      </w:r>
      <w:r>
        <w:rPr>
          <w:rFonts w:ascii="仿宋_GB2312" w:eastAsia="仿宋_GB2312" w:cs="仿宋_GB2312" w:hint="eastAsia"/>
        </w:rPr>
        <w:t>(签字或盖章)：</w:t>
      </w:r>
      <w:r>
        <w:rPr>
          <w:rFonts w:ascii="仿宋_GB2312" w:eastAsia="仿宋_GB2312" w:cs="仿宋_GB2312" w:hint="eastAsia"/>
          <w:u w:val="single"/>
        </w:rPr>
        <w:t xml:space="preserve">           </w:t>
      </w:r>
    </w:p>
    <w:p>
      <w:pPr>
        <w:pStyle w:val="183"/>
        <w:adjustRightInd w:val="0"/>
        <w:snapToGrid w:val="0"/>
        <w:spacing w:line="480" w:lineRule="auto"/>
        <w:ind w:rightChars="50" w:right="105"/>
        <w:jc w:val="left"/>
        <w:rPr>
          <w:rFonts w:ascii="仿宋_GB2312" w:eastAsia="仿宋_GB2312" w:cs="仿宋_GB2312"/>
          <w:szCs w:val="28"/>
        </w:rPr>
      </w:pPr>
      <w:r>
        <w:rPr>
          <w:rFonts w:ascii="仿宋_GB2312" w:eastAsia="仿宋_GB2312" w:cs="仿宋_GB2312" w:hint="eastAsia"/>
        </w:rPr>
        <w:t>日期：</w:t>
      </w:r>
      <w:r>
        <w:rPr>
          <w:rFonts w:ascii="仿宋_GB2312" w:eastAsia="仿宋_GB2312" w:cs="仿宋_GB2312" w:hint="eastAsia"/>
          <w:u w:val="single"/>
        </w:rPr>
        <w:t xml:space="preserve">               </w:t>
      </w:r>
    </w:p>
    <w:p>
      <w:pPr>
        <w:pStyle w:val="183"/>
        <w:adjustRightInd w:val="0"/>
        <w:snapToGrid w:val="0"/>
        <w:spacing w:line="480" w:lineRule="auto"/>
        <w:ind w:rightChars="50" w:right="105"/>
        <w:jc w:val="left"/>
        <w:rPr>
          <w:rFonts w:ascii="仿宋_GB2312" w:eastAsia="仿宋_GB2312" w:cs="仿宋_GB2312"/>
          <w:szCs w:val="21"/>
          <w:u w:val="single"/>
        </w:rPr>
      </w:pPr>
    </w:p>
    <w:p>
      <w:pPr>
        <w:pStyle w:val="189"/>
        <w:adjustRightInd w:val="0"/>
        <w:snapToGrid w:val="0"/>
        <w:spacing w:before="319" w:line="360" w:lineRule="auto"/>
        <w:ind w:rightChars="50" w:right="105"/>
        <w:jc w:val="center"/>
        <w:rPr>
          <w:rFonts w:ascii="仿宋_GB2312" w:eastAsia="仿宋_GB2312" w:cs="仿宋_GB2312"/>
          <w:b/>
          <w:bCs/>
          <w:sz w:val="32"/>
          <w:szCs w:val="32"/>
        </w:rPr>
      </w:pPr>
      <w:r>
        <w:rPr>
          <w:rFonts w:ascii="仿宋_GB2312" w:eastAsia="仿宋_GB2312" w:cs="仿宋_GB2312" w:hint="eastAsia"/>
          <w:b/>
          <w:bCs/>
          <w:sz w:val="32"/>
          <w:szCs w:val="32"/>
        </w:rPr>
        <w:t>技术规格偏离表</w:t>
      </w:r>
    </w:p>
    <w:tbl>
      <w:tblPr>
        <w:jc w:val="left"/>
        <w:tblInd w:w="0" w:type="dxa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3"/>
        <w:gridCol w:w="2310"/>
        <w:gridCol w:w="1186"/>
        <w:gridCol w:w="1125"/>
        <w:gridCol w:w="1091"/>
      </w:tblGrid>
      <w:tr>
        <w:trPr>
          <w:trHeight w:val="1140"/>
        </w:trPr>
        <w:tc>
          <w:tcPr>
            <w:tcW w:w="87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90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_GB2312" w:eastAsia="仿宋_GB2312" w:cs="仿宋_GB2312"/>
                <w:kern w:val="2"/>
                <w:sz w:val="21"/>
                <w:szCs w:val="21"/>
              </w:rPr>
            </w:pPr>
            <w:r>
              <w:rPr>
                <w:rFonts w:ascii="仿宋_GB2312" w:eastAsia="仿宋_GB2312" w:cs="仿宋_GB2312"/>
                <w:kern w:val="2"/>
                <w:sz w:val="21"/>
                <w:szCs w:val="21"/>
              </w:rPr>
              <w:t>品目4</w:t>
            </w:r>
          </w:p>
          <w:p>
            <w:pPr>
              <w:pStyle w:val="190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kern w:val="2"/>
                <w:sz w:val="21"/>
                <w:szCs w:val="21"/>
              </w:rPr>
              <w:t>产品名称：</w:t>
            </w:r>
            <w:r>
              <w:rPr>
                <w:rFonts w:ascii="仿宋_GB2312" w:eastAsia="仿宋_GB2312" w:cs="仿宋_GB2312" w:hint="eastAsia"/>
                <w:bCs/>
                <w:snapToGrid w:val="0"/>
                <w:kern w:val="2"/>
                <w:sz w:val="21"/>
                <w:szCs w:val="21"/>
              </w:rPr>
              <w:t>远程遥控开关</w:t>
            </w:r>
          </w:p>
          <w:p>
            <w:pPr>
              <w:pStyle w:val="190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_GB2312" w:eastAsia="仿宋_GB2312" w:cs="仿宋_GB2312"/>
                <w:kern w:val="2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kern w:val="2"/>
                <w:sz w:val="21"/>
                <w:szCs w:val="21"/>
              </w:rPr>
              <w:t>数量：</w:t>
            </w:r>
            <w:r>
              <w:rPr>
                <w:rFonts w:ascii="仿宋_GB2312" w:eastAsia="仿宋_GB2312" w:cs="仿宋_GB2312"/>
                <w:kern w:val="2"/>
                <w:sz w:val="21"/>
                <w:szCs w:val="21"/>
              </w:rPr>
              <w:t>9套</w:t>
            </w:r>
          </w:p>
        </w:tc>
      </w:tr>
      <w:tr>
        <w:trPr>
          <w:trHeight w:val="1547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9"/>
              <w:ind w:left="0" w:hanging="1"/>
              <w:rPr>
                <w:rFonts w:ascii="仿宋_GB2312" w:eastAsia="仿宋_GB2312" w:cs="仿宋_GB2312"/>
                <w:b/>
                <w:szCs w:val="21"/>
              </w:rPr>
            </w:pPr>
            <w:r>
              <w:rPr>
                <w:rFonts w:ascii="仿宋_GB2312" w:eastAsia="仿宋_GB2312" w:cs="仿宋_GB2312" w:hint="eastAsia"/>
                <w:b/>
                <w:sz w:val="18"/>
                <w:szCs w:val="18"/>
              </w:rPr>
              <w:t>（所有条款均为实质性要求不得负偏离，如果负偏离，则投标文件无效。）★标注</w:t>
            </w:r>
            <w:r>
              <w:rPr>
                <w:rFonts w:ascii="仿宋_GB2312" w:eastAsia="仿宋_GB2312" w:cs="仿宋_GB2312"/>
                <w:b/>
                <w:sz w:val="18"/>
                <w:szCs w:val="18"/>
              </w:rPr>
              <w:t>项必须提供证明材料，否则视为无效投标。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9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投标文件</w:t>
            </w:r>
          </w:p>
          <w:p>
            <w:pPr>
              <w:pStyle w:val="189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响应内容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9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偏离程度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9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偏离说明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9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证明材料</w:t>
            </w:r>
          </w:p>
        </w:tc>
      </w:tr>
      <w:tr>
        <w:trPr>
          <w:trHeight w:val="746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4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支持一对一和一对多对码模式，默认为一对一模式，模式切换时需打开接收设备后壳进行操作</w:t>
            </w:r>
          </w:p>
          <w:p>
            <w:pPr>
              <w:pStyle w:val="224"/>
              <w:jc w:val="left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遥控器手柄包含4个按键（自上而下顺序）：进开门、关门、出开门、常开；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9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9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9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9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2110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94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进开门，出开门为点动信号，过完人后闸机自动关闭；</w:t>
            </w:r>
          </w:p>
          <w:p>
            <w:pPr>
              <w:pStyle w:val="194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点击常开按钮，闸门会一直常开，按关门按钮后关闭；</w:t>
            </w:r>
          </w:p>
          <w:p>
            <w:pPr>
              <w:pStyle w:val="194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遥控器电量较低时，按下按键时指示灯会闪烁二次做为提醒</w:t>
            </w:r>
          </w:p>
          <w:p>
            <w:pPr>
              <w:pStyle w:val="194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 xml:space="preserve">无障碍运行次数： </w:t>
            </w:r>
          </w:p>
          <w:p>
            <w:pPr>
              <w:pStyle w:val="194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 xml:space="preserve">按键寿命50万次以上  </w:t>
            </w:r>
          </w:p>
          <w:p>
            <w:pPr>
              <w:pStyle w:val="194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 xml:space="preserve">通信距离：15m以上  </w:t>
            </w:r>
          </w:p>
          <w:p>
            <w:pPr>
              <w:pStyle w:val="194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 xml:space="preserve">通信频率： 433MHz   </w:t>
            </w:r>
          </w:p>
          <w:p>
            <w:pPr>
              <w:pStyle w:val="194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 xml:space="preserve">工作温度：-10 ℃ ~ 55 ℃ </w:t>
            </w:r>
          </w:p>
          <w:p>
            <w:pPr>
              <w:pStyle w:val="189"/>
              <w:tabs>
                <w:tab w:val="left" w:pos="0"/>
              </w:tabs>
              <w:spacing w:line="240" w:lineRule="exact"/>
              <w:jc w:val="left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供电方式：碱性锌锰层叠电池（2032）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9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9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9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9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1290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9"/>
              <w:adjustRightInd w:val="0"/>
              <w:snapToGrid w:val="0"/>
              <w:ind w:left="0" w:hanging="1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其它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9"/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采购单位未提供需求而投标人认为需说明及补充的内容在此填列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9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9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89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</w:tbl>
    <w:p>
      <w:pPr>
        <w:pStyle w:val="189"/>
        <w:adjustRightInd w:val="0"/>
        <w:snapToGrid w:val="0"/>
        <w:spacing w:line="360" w:lineRule="auto"/>
        <w:ind w:rightChars="50" w:right="105"/>
        <w:jc w:val="left"/>
        <w:rPr>
          <w:rFonts w:ascii="仿宋_GB2312" w:eastAsia="仿宋_GB2312" w:cs="仿宋_GB2312"/>
          <w:b/>
          <w:szCs w:val="21"/>
        </w:rPr>
      </w:pPr>
      <w:r>
        <w:rPr>
          <w:rFonts w:ascii="仿宋_GB2312" w:eastAsia="仿宋_GB2312" w:cs="仿宋_GB2312" w:hint="eastAsia"/>
          <w:b/>
          <w:szCs w:val="21"/>
        </w:rPr>
        <w:t>填表要求：</w:t>
      </w:r>
    </w:p>
    <w:p>
      <w:pPr>
        <w:pStyle w:val="189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1．“投标文件响应内容”一栏由投标人按照招标文件要求填写并进行逐项响应。</w:t>
      </w:r>
    </w:p>
    <w:p>
      <w:pPr>
        <w:pStyle w:val="189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2．“偏离程度”一栏根据“投标文件响应内容”与招标文件逐项对照的结果填写。偏离必须用 “正偏离、负偏离或无偏离”三个名称中的一种进行标注。</w:t>
      </w:r>
    </w:p>
    <w:p>
      <w:pPr>
        <w:pStyle w:val="189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3．“偏离说明”一栏由投标人对偏离的情况做详细说明。</w:t>
      </w:r>
    </w:p>
    <w:p>
      <w:pPr>
        <w:pStyle w:val="189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</w:p>
    <w:p>
      <w:pPr>
        <w:pStyle w:val="189"/>
        <w:snapToGrid w:val="0"/>
        <w:spacing w:line="480" w:lineRule="auto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投标人名称（加盖单位公章）：</w:t>
      </w:r>
      <w:r>
        <w:rPr>
          <w:rFonts w:ascii="仿宋_GB2312" w:eastAsia="仿宋_GB2312" w:cs="仿宋_GB2312" w:hint="eastAsia"/>
          <w:u w:val="single"/>
        </w:rPr>
        <w:t xml:space="preserve">           </w:t>
      </w:r>
    </w:p>
    <w:p>
      <w:pPr>
        <w:pStyle w:val="189"/>
        <w:snapToGrid w:val="0"/>
        <w:spacing w:line="480" w:lineRule="auto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法定代表人（或</w:t>
      </w:r>
      <w:r>
        <w:rPr>
          <w:rFonts w:ascii="仿宋_GB2312" w:eastAsia="仿宋_GB2312" w:cs="仿宋_GB2312" w:hint="eastAsia"/>
          <w:szCs w:val="21"/>
        </w:rPr>
        <w:t>非法人组织负责人）或</w:t>
      </w:r>
      <w:r>
        <w:rPr>
          <w:rFonts w:ascii="仿宋_GB2312" w:eastAsia="仿宋_GB2312" w:cs="仿宋_GB2312" w:hint="eastAsia"/>
        </w:rPr>
        <w:t>其</w:t>
      </w:r>
      <w:r>
        <w:rPr>
          <w:rFonts w:ascii="仿宋_GB2312" w:eastAsia="仿宋_GB2312" w:cs="仿宋_GB2312" w:hint="eastAsia"/>
          <w:szCs w:val="21"/>
        </w:rPr>
        <w:t>授权</w:t>
      </w:r>
      <w:r>
        <w:rPr>
          <w:rFonts w:ascii="仿宋_GB2312" w:eastAsia="仿宋_GB2312" w:cs="仿宋_GB2312" w:hint="eastAsia"/>
        </w:rPr>
        <w:t>委托</w:t>
      </w:r>
      <w:r>
        <w:rPr>
          <w:rFonts w:ascii="仿宋_GB2312" w:eastAsia="仿宋_GB2312" w:cs="仿宋_GB2312" w:hint="eastAsia"/>
          <w:szCs w:val="21"/>
        </w:rPr>
        <w:t>人</w:t>
      </w:r>
      <w:r>
        <w:rPr>
          <w:rFonts w:ascii="仿宋_GB2312" w:eastAsia="仿宋_GB2312" w:cs="仿宋_GB2312" w:hint="eastAsia"/>
        </w:rPr>
        <w:t>(签字或盖章)：</w:t>
      </w:r>
      <w:r>
        <w:rPr>
          <w:rFonts w:ascii="仿宋_GB2312" w:eastAsia="仿宋_GB2312" w:cs="仿宋_GB2312" w:hint="eastAsia"/>
          <w:u w:val="single"/>
        </w:rPr>
        <w:t xml:space="preserve">           </w:t>
      </w:r>
    </w:p>
    <w:p>
      <w:pPr>
        <w:pStyle w:val="189"/>
        <w:adjustRightInd w:val="0"/>
        <w:snapToGrid w:val="0"/>
        <w:spacing w:line="480" w:lineRule="auto"/>
        <w:ind w:rightChars="50" w:right="105"/>
        <w:jc w:val="left"/>
        <w:rPr>
          <w:rFonts w:ascii="仿宋_GB2312" w:eastAsia="仿宋_GB2312" w:cs="仿宋_GB2312"/>
          <w:szCs w:val="28"/>
        </w:rPr>
      </w:pPr>
      <w:r>
        <w:rPr>
          <w:rFonts w:ascii="仿宋_GB2312" w:eastAsia="仿宋_GB2312" w:cs="仿宋_GB2312" w:hint="eastAsia"/>
        </w:rPr>
        <w:t>日期：</w:t>
      </w:r>
      <w:r>
        <w:rPr>
          <w:rFonts w:ascii="仿宋_GB2312" w:eastAsia="仿宋_GB2312" w:cs="仿宋_GB2312" w:hint="eastAsia"/>
          <w:u w:val="single"/>
        </w:rPr>
        <w:t xml:space="preserve">               </w:t>
      </w:r>
    </w:p>
    <w:p>
      <w:pPr>
        <w:pStyle w:val="149"/>
        <w:adjustRightInd w:val="0"/>
        <w:snapToGrid w:val="0"/>
        <w:spacing w:before="0" w:after="0" w:line="240" w:lineRule="auto"/>
        <w:jc w:val="left"/>
        <w:rPr>
          <w:rFonts w:ascii="仿宋_GB2312" w:eastAsia="仿宋_GB2312" w:cs="仿宋_GB2312"/>
          <w:szCs w:val="28"/>
        </w:rPr>
      </w:pPr>
    </w:p>
    <w:p>
      <w:pPr>
        <w:pStyle w:val="149"/>
        <w:adjustRightInd w:val="0"/>
        <w:snapToGrid w:val="0"/>
        <w:spacing w:before="0" w:after="0" w:line="240" w:lineRule="auto"/>
        <w:jc w:val="left"/>
        <w:rPr>
          <w:rFonts w:ascii="仿宋_GB2312" w:eastAsia="仿宋_GB2312" w:cs="仿宋_GB2312"/>
          <w:szCs w:val="28"/>
        </w:rPr>
      </w:pPr>
    </w:p>
    <w:p>
      <w:pPr>
        <w:pStyle w:val="149"/>
        <w:adjustRightInd w:val="0"/>
        <w:snapToGrid w:val="0"/>
        <w:spacing w:before="0" w:after="0" w:line="240" w:lineRule="auto"/>
        <w:jc w:val="left"/>
        <w:rPr>
          <w:rFonts w:ascii="仿宋_GB2312" w:eastAsia="仿宋_GB2312" w:cs="仿宋_GB2312"/>
          <w:szCs w:val="28"/>
        </w:rPr>
      </w:pPr>
      <w:r>
        <w:rPr>
          <w:rFonts w:ascii="仿宋_GB2312" w:eastAsia="仿宋_GB2312" w:cs="仿宋_GB2312" w:hint="eastAsia"/>
          <w:szCs w:val="28"/>
        </w:rPr>
        <w:t>格式</w:t>
      </w:r>
      <w:r>
        <w:rPr>
          <w:rFonts w:ascii="仿宋_GB2312" w:eastAsia="仿宋_GB2312" w:cs="仿宋_GB2312"/>
          <w:szCs w:val="28"/>
        </w:rPr>
        <w:t>10</w:t>
      </w:r>
    </w:p>
    <w:p>
      <w:pPr>
        <w:pStyle w:val="150"/>
        <w:adjustRightInd w:val="0"/>
        <w:snapToGrid w:val="0"/>
        <w:ind w:rightChars="50" w:right="105"/>
        <w:jc w:val="center"/>
        <w:rPr>
          <w:rFonts w:ascii="仿宋_GB2312" w:eastAsia="仿宋_GB2312" w:cs="仿宋_GB2312"/>
          <w:b/>
          <w:bCs/>
          <w:sz w:val="32"/>
          <w:szCs w:val="32"/>
        </w:rPr>
      </w:pPr>
      <w:bookmarkStart w:id="14" w:name="_Toc4431_WPSOffice_Level2"/>
      <w:bookmarkStart w:id="15" w:name="_Toc8488_WPSOffice_Level2"/>
      <w:r>
        <w:rPr>
          <w:rFonts w:ascii="仿宋_GB2312" w:eastAsia="仿宋_GB2312" w:cs="仿宋_GB2312" w:hint="eastAsia"/>
          <w:b/>
          <w:bCs/>
          <w:sz w:val="32"/>
          <w:szCs w:val="32"/>
        </w:rPr>
        <w:t>商务条款偏离表</w:t>
      </w:r>
      <w:bookmarkEnd w:id="14"/>
      <w:bookmarkEnd w:id="15"/>
    </w:p>
    <w:p>
      <w:pPr>
        <w:pStyle w:val="150"/>
        <w:adjustRightInd w:val="0"/>
        <w:snapToGrid w:val="0"/>
        <w:spacing w:line="360" w:lineRule="auto"/>
        <w:ind w:rightChars="50" w:right="105"/>
        <w:jc w:val="left"/>
        <w:rPr>
          <w:rFonts w:ascii="仿宋_GB2312" w:eastAsia="仿宋_GB2312" w:cs="仿宋_GB2312"/>
          <w:b/>
          <w:bCs/>
          <w:szCs w:val="21"/>
        </w:rPr>
      </w:pPr>
      <w:r>
        <w:rPr>
          <w:rFonts w:ascii="仿宋_GB2312" w:eastAsia="仿宋_GB2312" w:cs="仿宋_GB2312" w:hint="eastAsia"/>
          <w:b/>
          <w:bCs/>
          <w:szCs w:val="21"/>
        </w:rPr>
        <w:t xml:space="preserve"> </w:t>
      </w:r>
    </w:p>
    <w:tbl>
      <w:tblPr>
        <w:jc w:val="center"/>
        <w:tblW w:w="8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"/>
        <w:gridCol w:w="3737"/>
        <w:gridCol w:w="2370"/>
        <w:gridCol w:w="926"/>
        <w:gridCol w:w="936"/>
      </w:tblGrid>
      <w:tr>
        <w:trPr>
          <w:trHeight w:val="944"/>
        </w:trPr>
        <w:tc>
          <w:tcPr>
            <w:tcW w:w="544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-23" w:right="-48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序号</w:t>
            </w:r>
          </w:p>
        </w:tc>
        <w:tc>
          <w:tcPr>
            <w:tcW w:w="3737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-35" w:right="-73"/>
              <w:jc w:val="left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b/>
                <w:sz w:val="18"/>
                <w:szCs w:val="18"/>
              </w:rPr>
              <w:t>（所有条款均为实质性要求不得负偏离，如果负偏离，则投标文件无效。）</w:t>
            </w: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-51" w:right="-107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投标文件响应内容</w:t>
            </w:r>
          </w:p>
        </w:tc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leftChars="-28" w:left="-59" w:rightChars="-50" w:right="-105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偏离程度</w:t>
            </w: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leftChars="-28" w:left="-59" w:rightChars="-50" w:right="-105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偏离说明</w:t>
            </w:r>
          </w:p>
        </w:tc>
      </w:tr>
      <w:tr>
        <w:trPr>
          <w:trHeight w:val="345"/>
        </w:trPr>
        <w:tc>
          <w:tcPr>
            <w:tcW w:w="544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1</w:t>
            </w:r>
          </w:p>
        </w:tc>
        <w:tc>
          <w:tcPr>
            <w:tcW w:w="3737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交货时间：</w:t>
            </w:r>
            <w:r>
              <w:rPr>
                <w:rFonts w:ascii="仿宋_GB2312" w:eastAsia="仿宋_GB2312" w:cs="仿宋_GB2312"/>
                <w:szCs w:val="21"/>
              </w:rPr>
              <w:t>合同签订后15个工作日内完成供货及安装调试。</w:t>
            </w: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  <w:tr>
        <w:trPr>
          <w:trHeight w:val="345"/>
        </w:trPr>
        <w:tc>
          <w:tcPr>
            <w:tcW w:w="544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2</w:t>
            </w:r>
          </w:p>
        </w:tc>
        <w:tc>
          <w:tcPr>
            <w:tcW w:w="3737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交货地点：沈阳桃仙机场T3航站楼进出境现场</w:t>
            </w:r>
            <w:r>
              <w:rPr>
                <w:rFonts w:ascii="仿宋_GB2312" w:eastAsia="仿宋_GB2312" w:cs="仿宋_GB2312"/>
                <w:szCs w:val="21"/>
              </w:rPr>
              <w:t>。</w:t>
            </w: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  <w:tr>
        <w:trPr>
          <w:trHeight w:val="345"/>
        </w:trPr>
        <w:tc>
          <w:tcPr>
            <w:tcW w:w="544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3</w:t>
            </w:r>
          </w:p>
        </w:tc>
        <w:tc>
          <w:tcPr>
            <w:tcW w:w="3737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付款方式及条件：</w:t>
            </w:r>
            <w:r>
              <w:rPr>
                <w:rFonts w:ascii="仿宋_GB2312" w:eastAsia="仿宋_GB2312" w:cs="仿宋_GB2312"/>
                <w:szCs w:val="21"/>
              </w:rPr>
              <w:t>以合同约定为准。</w:t>
            </w: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  <w:tr>
        <w:trPr>
          <w:trHeight w:val="626"/>
        </w:trPr>
        <w:tc>
          <w:tcPr>
            <w:tcW w:w="544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4</w:t>
            </w:r>
          </w:p>
        </w:tc>
        <w:tc>
          <w:tcPr>
            <w:tcW w:w="3737" w:type="dxa"/>
            <w:tcBorders>
              <w:tl2br w:val="nil"/>
              <w:tr2bl w:val="nil"/>
            </w:tcBorders>
            <w:vAlign w:val="center"/>
          </w:tcPr>
          <w:p>
            <w:pPr>
              <w:pStyle w:val="196"/>
              <w:jc w:val="left"/>
              <w:rPr>
                <w:rFonts w:ascii="仿宋_GB2312" w:eastAsia="仿宋_GB2312" w:cs="仿宋_GB2312" w:hint="eastAsia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验收标准：响应全部需求内容，按合同完成服务。</w:t>
            </w:r>
          </w:p>
          <w:p>
            <w:pPr>
              <w:pStyle w:val="196"/>
              <w:jc w:val="left"/>
              <w:rPr>
                <w:rFonts w:ascii="仿宋_GB2312" w:eastAsia="仿宋_GB2312" w:cs="仿宋_GB2312" w:hint="eastAsia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验收程序：按合同要求执行。</w:t>
            </w:r>
          </w:p>
          <w:p>
            <w:pPr>
              <w:pStyle w:val="196"/>
              <w:jc w:val="left"/>
              <w:rPr>
                <w:rFonts w:ascii="仿宋_GB2312" w:eastAsia="仿宋_GB2312" w:cs="仿宋_GB2312" w:hint="eastAsia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验收报告：由采购人代表协调成交供应商出具。</w:t>
            </w:r>
          </w:p>
          <w:p>
            <w:pPr>
              <w:pStyle w:val="150"/>
              <w:adjustRightInd w:val="0"/>
              <w:snapToGrid w:val="0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组织验收主体：本项目的履约验收工作由采购人代表依法组织实施，成交供应商参与配合。</w:t>
            </w:r>
          </w:p>
          <w:p>
            <w:pPr>
              <w:pStyle w:val="150"/>
              <w:adjustRightInd w:val="0"/>
              <w:snapToGrid w:val="0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  <w:tr>
        <w:trPr>
          <w:trHeight w:val="345"/>
        </w:trPr>
        <w:tc>
          <w:tcPr>
            <w:tcW w:w="544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5</w:t>
            </w:r>
          </w:p>
        </w:tc>
        <w:tc>
          <w:tcPr>
            <w:tcW w:w="3737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质量保证期：</w:t>
            </w:r>
            <w:r>
              <w:rPr>
                <w:rFonts w:ascii="仿宋_GB2312" w:eastAsia="仿宋_GB2312" w:cs="仿宋_GB2312"/>
                <w:szCs w:val="21"/>
              </w:rPr>
              <w:t>验收合格起</w:t>
            </w:r>
            <w:r>
              <w:rPr>
                <w:rFonts w:ascii="仿宋_GB2312" w:eastAsia="仿宋_GB2312" w:cs="仿宋_GB2312" w:hint="eastAsia"/>
                <w:szCs w:val="21"/>
              </w:rPr>
              <w:t>（</w:t>
            </w:r>
            <w:r>
              <w:rPr>
                <w:rFonts w:ascii="仿宋_GB2312" w:eastAsia="仿宋_GB2312" w:cs="仿宋_GB2312"/>
                <w:szCs w:val="21"/>
              </w:rPr>
              <w:t>1</w:t>
            </w:r>
            <w:r>
              <w:rPr>
                <w:rFonts w:ascii="仿宋_GB2312" w:eastAsia="仿宋_GB2312" w:cs="仿宋_GB2312" w:hint="eastAsia"/>
                <w:szCs w:val="21"/>
              </w:rPr>
              <w:t>）年</w:t>
            </w: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  <w:tr>
        <w:trPr>
          <w:trHeight w:val="829"/>
        </w:trPr>
        <w:tc>
          <w:tcPr>
            <w:tcW w:w="544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6</w:t>
            </w:r>
          </w:p>
        </w:tc>
        <w:tc>
          <w:tcPr>
            <w:tcW w:w="3737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left="0" w:hanging="1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热线支持：</w:t>
            </w:r>
          </w:p>
          <w:p>
            <w:pPr>
              <w:pStyle w:val="150"/>
              <w:adjustRightInd w:val="0"/>
              <w:snapToGrid w:val="0"/>
              <w:ind w:left="0" w:hanging="1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现场支持：（</w:t>
            </w:r>
            <w:r>
              <w:rPr>
                <w:rFonts w:ascii="仿宋_GB2312" w:eastAsia="仿宋_GB2312" w:cs="仿宋_GB2312"/>
                <w:szCs w:val="21"/>
              </w:rPr>
              <w:t>1</w:t>
            </w:r>
            <w:r>
              <w:rPr>
                <w:rFonts w:ascii="仿宋_GB2312" w:eastAsia="仿宋_GB2312" w:cs="仿宋_GB2312" w:hint="eastAsia"/>
                <w:szCs w:val="21"/>
              </w:rPr>
              <w:t>）小时内响应；（</w:t>
            </w:r>
            <w:r>
              <w:rPr>
                <w:rFonts w:ascii="仿宋_GB2312" w:eastAsia="仿宋_GB2312" w:cs="仿宋_GB2312"/>
                <w:szCs w:val="21"/>
              </w:rPr>
              <w:t>4</w:t>
            </w:r>
            <w:r>
              <w:rPr>
                <w:rFonts w:ascii="仿宋_GB2312" w:eastAsia="仿宋_GB2312" w:cs="仿宋_GB2312" w:hint="eastAsia"/>
                <w:szCs w:val="21"/>
              </w:rPr>
              <w:t>）小时内到达</w:t>
            </w: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  <w:tr>
        <w:trPr>
          <w:trHeight w:val="416"/>
        </w:trPr>
        <w:tc>
          <w:tcPr>
            <w:tcW w:w="544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7</w:t>
            </w:r>
          </w:p>
        </w:tc>
        <w:tc>
          <w:tcPr>
            <w:tcW w:w="3737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left="0" w:hanging="1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提供</w:t>
            </w:r>
            <w:r>
              <w:rPr>
                <w:rFonts w:ascii="仿宋_GB2312" w:eastAsia="仿宋_GB2312" w:cs="仿宋_GB2312" w:hint="eastAsia"/>
                <w:szCs w:val="21"/>
              </w:rPr>
              <w:t>现场培训</w:t>
            </w:r>
            <w:r>
              <w:rPr>
                <w:rFonts w:ascii="仿宋_GB2312" w:eastAsia="仿宋_GB2312" w:cs="仿宋_GB2312"/>
                <w:szCs w:val="21"/>
              </w:rPr>
              <w:t>业务。</w:t>
            </w: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  <w:tr>
        <w:trPr>
          <w:trHeight w:val="416"/>
        </w:trPr>
        <w:tc>
          <w:tcPr>
            <w:tcW w:w="544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8</w:t>
            </w:r>
          </w:p>
        </w:tc>
        <w:tc>
          <w:tcPr>
            <w:tcW w:w="3737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left="0" w:hanging="1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免费提供</w:t>
            </w:r>
            <w:r>
              <w:rPr>
                <w:rFonts w:ascii="仿宋_GB2312" w:eastAsia="仿宋_GB2312" w:cs="仿宋_GB2312" w:hint="eastAsia"/>
                <w:szCs w:val="21"/>
              </w:rPr>
              <w:t>系统扩展、升级服务</w:t>
            </w:r>
            <w:r>
              <w:rPr>
                <w:rFonts w:ascii="仿宋_GB2312" w:eastAsia="仿宋_GB2312" w:cs="仿宋_GB2312"/>
                <w:szCs w:val="21"/>
              </w:rPr>
              <w:t>。</w:t>
            </w:r>
            <w:bookmarkStart w:id="16" w:name="_GoBack"/>
            <w:bookmarkEnd w:id="16"/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  <w:tr>
        <w:trPr>
          <w:trHeight w:val="836"/>
        </w:trPr>
        <w:tc>
          <w:tcPr>
            <w:tcW w:w="544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3737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left="0" w:hanging="1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其它</w:t>
            </w: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leftChars="-25" w:left="-52" w:rightChars="-8" w:right="-17"/>
              <w:jc w:val="left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采购单位未提供需求而投标人认为需说明及补充的内容在此填列</w:t>
            </w:r>
          </w:p>
        </w:tc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</w:tbl>
    <w:p>
      <w:pPr>
        <w:pStyle w:val="150"/>
        <w:adjustRightInd w:val="0"/>
        <w:snapToGrid w:val="0"/>
        <w:spacing w:line="360" w:lineRule="auto"/>
        <w:ind w:rightChars="50" w:right="105"/>
        <w:jc w:val="left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b/>
          <w:szCs w:val="21"/>
        </w:rPr>
        <w:t>填表要求：</w:t>
      </w:r>
    </w:p>
    <w:p>
      <w:pPr>
        <w:pStyle w:val="150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1．“投标文件响应内容”一栏由投标人按照招标文件要求填写，进行响应。</w:t>
      </w:r>
    </w:p>
    <w:p>
      <w:pPr>
        <w:pStyle w:val="150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2．“偏离程度”一栏根据“投标文件响应内容”与招标文件逐项对照的结果填写。偏离必须用 “正偏离、负偏离或无偏离”三个名称中的一种进行标注。</w:t>
      </w:r>
    </w:p>
    <w:p>
      <w:pPr>
        <w:pStyle w:val="150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3．“偏离说明”一栏由投标人对偏离的情况做详细说明。</w:t>
      </w:r>
    </w:p>
    <w:p>
      <w:pPr>
        <w:pStyle w:val="150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</w:p>
    <w:p>
      <w:pPr>
        <w:pStyle w:val="150"/>
        <w:spacing w:line="480" w:lineRule="auto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投标人名称（加盖单位公章）：</w:t>
      </w:r>
      <w:r>
        <w:rPr>
          <w:rFonts w:ascii="仿宋_GB2312" w:eastAsia="仿宋_GB2312" w:cs="仿宋_GB2312" w:hint="eastAsia"/>
          <w:u w:val="single"/>
        </w:rPr>
        <w:t xml:space="preserve">           </w:t>
      </w:r>
    </w:p>
    <w:p>
      <w:pPr>
        <w:pStyle w:val="150"/>
        <w:spacing w:line="480" w:lineRule="auto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法定代表人（或</w:t>
      </w:r>
      <w:r>
        <w:rPr>
          <w:rFonts w:ascii="仿宋_GB2312" w:eastAsia="仿宋_GB2312" w:cs="仿宋_GB2312" w:hint="eastAsia"/>
          <w:szCs w:val="21"/>
        </w:rPr>
        <w:t>非法人组织负责人）或</w:t>
      </w:r>
      <w:r>
        <w:rPr>
          <w:rFonts w:ascii="仿宋_GB2312" w:eastAsia="仿宋_GB2312" w:cs="仿宋_GB2312" w:hint="eastAsia"/>
        </w:rPr>
        <w:t>其</w:t>
      </w:r>
      <w:r>
        <w:rPr>
          <w:rFonts w:ascii="仿宋_GB2312" w:eastAsia="仿宋_GB2312" w:cs="仿宋_GB2312" w:hint="eastAsia"/>
          <w:szCs w:val="21"/>
        </w:rPr>
        <w:t>授权</w:t>
      </w:r>
      <w:r>
        <w:rPr>
          <w:rFonts w:ascii="仿宋_GB2312" w:eastAsia="仿宋_GB2312" w:cs="仿宋_GB2312" w:hint="eastAsia"/>
        </w:rPr>
        <w:t>委托</w:t>
      </w:r>
      <w:r>
        <w:rPr>
          <w:rFonts w:ascii="仿宋_GB2312" w:eastAsia="仿宋_GB2312" w:cs="仿宋_GB2312" w:hint="eastAsia"/>
          <w:szCs w:val="21"/>
        </w:rPr>
        <w:t>人</w:t>
      </w:r>
      <w:r>
        <w:rPr>
          <w:rFonts w:ascii="仿宋_GB2312" w:eastAsia="仿宋_GB2312" w:cs="仿宋_GB2312" w:hint="eastAsia"/>
        </w:rPr>
        <w:t>(签字或盖章)：</w:t>
      </w:r>
      <w:r>
        <w:rPr>
          <w:rFonts w:ascii="仿宋_GB2312" w:eastAsia="仿宋_GB2312" w:cs="仿宋_GB2312" w:hint="eastAsia"/>
          <w:u w:val="single"/>
        </w:rPr>
        <w:t xml:space="preserve">           </w:t>
      </w:r>
    </w:p>
    <w:p>
      <w:pPr>
        <w:pStyle w:val="150"/>
        <w:spacing w:line="480" w:lineRule="auto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日期：</w:t>
      </w:r>
      <w:r>
        <w:rPr>
          <w:rFonts w:ascii="仿宋_GB2312" w:eastAsia="仿宋_GB2312" w:cs="仿宋_GB2312" w:hint="eastAsia"/>
          <w:u w:val="single"/>
        </w:rPr>
        <w:t xml:space="preserve">                </w:t>
      </w:r>
    </w:p>
    <w:sectPr>
      <w:pgSz w:w="11906" w:h="16838"/>
      <w:pgMar w:top="1440" w:right="1803" w:bottom="1440" w:left="1803" w:header="851" w:footer="992" w:gutter="0"/>
      <w:docGrid w:type="linesAndChars" w:linePitch="31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altName w:val="方正仿宋_GBK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400001FF" w:csb1="FFFF0000"/>
  </w:font>
  <w:font w:name="方正仿宋_GBK">
    <w:altName w:val="微软雅黑"/>
    <w:panose1 w:val="02000000000000000000"/>
    <w:charset w:val="86"/>
    <w:family w:val="script"/>
    <w:pitch w:val="variable"/>
    <w:sig w:usb0="00000000" w:usb1="00000000" w:usb2="00082016" w:usb3="00000000" w:csb0="00040001" w:csb1="00000000"/>
  </w:font>
  <w:font w:name="仿宋_GB2312">
    <w:altName w:val="仿宋"/>
    <w:panose1 w:val="00000000000000000000"/>
    <w:charset w:val="86"/>
    <w:family w:val="modern"/>
    <w:pitch w:val="variable"/>
    <w:sig w:usb0="00000000" w:usb1="080E0000" w:usb2="00000000" w:usb3="00000000" w:csb0="00040000" w:csb1="00000000"/>
  </w:font>
  <w:font w:name="宋体">
    <w:altName w:val="华文宋体"/>
    <w:panose1 w:val="02010600030101010101"/>
    <w:charset w:val="7A"/>
    <w:family w:val="auto"/>
    <w:pitch w:val="variable"/>
    <w:sig w:usb0="00000003" w:usb1="288F0000" w:usb2="00000006" w:usb3="00000000" w:csb0="00040001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微软雅黑">
    <w:altName w:val="华文细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华文细黑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Courier New">
    <w:altName w:val="DejaVu Sans"/>
    <w:panose1 w:val="02070309020205020404"/>
    <w:charset w:val="01"/>
    <w:family w:val="modern"/>
    <w:pitch w:val="variable"/>
    <w:sig w:usb0="E0002AFF" w:usb1="C0007843" w:usb2="00000009" w:usb3="00000000" w:csb0="400001FF" w:csb1="FFFF0000"/>
  </w:font>
  <w:font w:name="Consolas">
    <w:altName w:val="DejaVu Sans"/>
    <w:panose1 w:val="020B0609020204030204"/>
    <w:charset w:val="00"/>
    <w:family w:val="modern"/>
    <w:pitch w:val="variable"/>
    <w:sig w:usb0="E10002FF" w:usb1="4000FCFF" w:usb2="00000009" w:usb3="00000000" w:csb0="6000019F" w:csb1="DFD70000"/>
  </w:font>
  <w:font w:name="Adobe 仿宋 Std R">
    <w:altName w:val="方正仿宋_GBK"/>
    <w:panose1 w:val="00000000000000000000"/>
    <w:charset w:val="86"/>
    <w:family w:val="roman"/>
    <w:pitch w:val="variable"/>
    <w:sig w:usb0="00000000" w:usb1="00000000" w:usb2="00000016" w:usb3="00000000" w:csb0="00060007" w:csb1="00000000"/>
  </w:font>
  <w:font w:name="楷体_GB2312">
    <w:altName w:val="楷体"/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Cambria Math">
    <w:altName w:val="DejaVu Sans"/>
    <w:panose1 w:val="02040503050406030204"/>
    <w:charset w:val="00"/>
    <w:family w:val="roman"/>
    <w:pitch w:val="variable"/>
    <w:sig w:usb0="E00002FF" w:usb1="420024FF" w:usb2="00000000" w:usb3="00000000" w:csb0="2000019F" w:csb1="00000000"/>
  </w:font>
  <w:font w:name="Microsoft YaHei UI">
    <w:altName w:val="方正黑体_GBK"/>
    <w:panose1 w:val="020B0503020204020204"/>
    <w:charset w:val="86"/>
    <w:family w:val="swiss"/>
    <w:pitch w:val="variable"/>
    <w:sig w:usb0="00000000" w:usb1="00000000" w:usb2="00000016" w:usb3="00000000" w:csb0="0004001F" w:csb1="00000000"/>
  </w:font>
  <w:font w:name="SimSun">
    <w:altName w:val="DejaVu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91438" distR="91438" simplePos="0" relativeHeight="10" behindDoc="0" locked="0" layoutInCell="1" hidden="0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149" cy="148018"/>
              <wp:effectExtent l="0" t="0" r="0" b="0"/>
              <wp:wrapNone/>
              <wp:docPr id="1" name="文本框 4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57149" cy="148018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round/>
                      </a:ln>
                    </wps:spPr>
                    <wps:txbx id="2">
                      <w:txbxContent>
                        <w:p>
                          <w:pPr>
                            <w:pStyle w:val="24"/>
                            <w:tabs>
                              <w:tab w:val="center" w:pos="4153"/>
                              <w:tab w:val="right" w:pos="8306"/>
                            </w:tabs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文本框 4 3" o:spid="_x0000_s3" filled="f" stroked="f" style="position:absolute;margin-left:0.0pt;margin-top:0.0pt;width:4.4999924pt;height:11.654974pt;z-index:10;mso-position-horizontal:center;mso-position-horizontal-relative:margin;mso-position-vertical:absolute;mso-wrap-distance-left:7.19989pt;mso-wrap-distance-right:7.19989pt;mso-wrap-style:none;">
              <v:stroke color="#000000"/>
              <v:textbox id="848" inset="0mm,0mm,0mm,0mm" o:insetmode="custom" style="layout-flow:horizontal;v-text-anchor:top;mso-fit-shape-to-text:t;">
                <w:txbxContent>
                  <w:p>
                    <w:pPr>
                      <w:pStyle w:val="24"/>
                      <w:tabs>
                        <w:tab w:val="center" w:pos="4153"/>
                        <w:tab w:val="right" w:pos="8306"/>
                      </w:tabs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B86E4D9A"/>
    <w:multiLevelType w:val="multilevel"/>
    <w:tmpl w:val="2EC14CF7"/>
    <w:lvl w:ilvl="0">
      <w:start w:val="1"/>
      <w:numFmt w:val="chineseCountingThousand"/>
      <w:lvlRestart w:val="0"/>
      <w:suff w:val="space"/>
      <w:lvlText w:val="%1、"/>
      <w:lvlJc w:val="left"/>
      <w:pPr>
        <w:ind w:left="0" w:hanging="0"/>
      </w:pPr>
      <w:rPr>
        <w:rFonts w:hint="eastAsia"/>
        <w:b/>
      </w:rPr>
    </w:lvl>
    <w:lvl w:ilvl="1">
      <w:start w:val="1"/>
      <w:numFmt w:val="decimal"/>
      <w:isLgl/>
      <w:suff w:val="space"/>
      <w:lvlText w:val="%1.%2"/>
      <w:lvlJc w:val="left"/>
      <w:pPr>
        <w:ind w:left="284" w:hanging="0"/>
      </w:pPr>
      <w:rPr>
        <w:rFonts w:hint="eastAsia"/>
        <w:spacing w:val="0"/>
        <w:w w:val="100"/>
        <w:kern w:val="21"/>
        <w:position w:val="0"/>
      </w:rPr>
    </w:lvl>
    <w:lvl w:ilvl="2">
      <w:start w:val="1"/>
      <w:numFmt w:val="decimal"/>
      <w:pStyle w:val="3"/>
      <w:isLgl/>
      <w:suff w:val="space"/>
      <w:lvlText w:val="%1.%2.%3"/>
      <w:lvlJc w:val="left"/>
      <w:pPr>
        <w:ind w:left="851" w:hanging="0"/>
      </w:pPr>
      <w:rPr>
        <w:rFonts w:hint="eastAsia"/>
        <w:color w:val="auto"/>
      </w:rPr>
    </w:lvl>
    <w:lvl w:ilvl="3">
      <w:start w:val="1"/>
      <w:numFmt w:val="decimal"/>
      <w:lvlText w:val="%1.%2.%3.%4"/>
      <w:lvlJc w:val="left"/>
      <w:pPr>
        <w:ind w:left="852" w:hanging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136" w:hanging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420" w:hanging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704" w:hanging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988" w:hanging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272" w:hanging="0"/>
      </w:pPr>
      <w:rPr>
        <w:rFonts w:hint="eastAsia"/>
      </w:rPr>
    </w:lvl>
  </w:abstractNum>
  <w:abstractNum w:abstractNumId="1">
    <w:nsid w:val="D534F181"/>
    <w:multiLevelType w:val="multilevel"/>
    <w:tmpl w:val="420C153B"/>
    <w:lvl w:ilvl="0">
      <w:start w:val="1"/>
      <w:numFmt w:val="decimal"/>
      <w:lvlRestart w:val="0"/>
      <w:pStyle w:val="44"/>
      <w:lvlText w:val="%1."/>
      <w:lvlJc w:val="left"/>
      <w:pPr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00"/>
  <w:doNotDisplayPageBoundaries/>
  <w:bordersDoNotSurroundHeader/>
  <w:bordersDoNotSurroundFooter/>
  <w:defaultTabStop w:val="420"/>
  <w:drawingGridHorizontalSpacing w:val="105"/>
  <w:drawingGridVerticalSpacing w:val="159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ZWI0ZTNlODIyMDMyM2U1YTRjMjMzNjEyY2E2MjY1ODY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120" w:after="120"/>
      <w:jc w:val="center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140" w:after="140" w:line="413" w:lineRule="auto"/>
      <w:jc w:val="center"/>
      <w:outlineLvl w:val="1"/>
    </w:pPr>
    <w:rPr>
      <w:rFonts w:ascii="Arial" w:hAnsi="Arial"/>
      <w:b/>
      <w:sz w:val="28"/>
    </w:rPr>
  </w:style>
  <w:style w:type="paragraph" w:styleId="3">
    <w:name w:val="heading 3"/>
    <w:next w:val="0"/>
    <w:pPr>
      <w:numPr>
        <w:ilvl w:val="2"/>
        <w:numId w:val="1"/>
      </w:numPr>
      <w:snapToGrid w:val="0"/>
      <w:ind w:left="567"/>
      <w:outlineLvl w:val="2"/>
    </w:pPr>
    <w:rPr>
      <w:rFonts w:ascii="微软雅黑" w:eastAsia="微软雅黑" w:cs="Times New Roman"/>
      <w:bCs/>
      <w:kern w:val="2"/>
      <w:sz w:val="21"/>
      <w:szCs w:val="32"/>
      <w:lang w:val="en-US" w:eastAsia="zh-CN" w:bidi="ar-SA"/>
    </w:rPr>
  </w:style>
  <w:style w:type="paragraph" w:styleId="4">
    <w:name w:val="heading 4"/>
    <w:basedOn w:val="0"/>
    <w:next w:val="0"/>
    <w:pPr>
      <w:keepNext/>
      <w:keepLines/>
      <w:widowControl w:val="0"/>
      <w:outlineLvl w:val="3"/>
    </w:pPr>
    <w:rPr>
      <w:rFonts w:ascii="Arial" w:eastAsia="黑体" w:hAnsi="Arial"/>
      <w:bCs/>
      <w:kern w:val="0"/>
      <w:sz w:val="24"/>
      <w:szCs w:val="28"/>
    </w:rPr>
  </w:style>
  <w:style w:type="character" w:default="1" w:styleId="10">
    <w:name w:val="Default Paragraph Font"/>
  </w:style>
  <w:style w:type="paragraph" w:styleId="15">
    <w:name w:val="Normal Indent"/>
    <w:basedOn w:val="0"/>
    <w:pPr>
      <w:ind w:firstLineChars="200" w:firstLine="200"/>
    </w:pPr>
    <w:rPr>
      <w:rFonts w:ascii="Calibri" w:hAnsi="Calibri"/>
    </w:rPr>
  </w:style>
  <w:style w:type="paragraph" w:styleId="16">
    <w:name w:val="Document Map"/>
    <w:basedOn w:val="0"/>
    <w:next w:val="0"/>
    <w:rPr>
      <w:rFonts w:eastAsia="宋体"/>
      <w:sz w:val="18"/>
      <w:szCs w:val="18"/>
    </w:rPr>
  </w:style>
  <w:style w:type="paragraph" w:styleId="17">
    <w:name w:val="annotation text"/>
    <w:basedOn w:val="0"/>
    <w:pPr>
      <w:jc w:val="left"/>
    </w:pPr>
  </w:style>
  <w:style w:type="paragraph" w:styleId="18">
    <w:name w:val="Body Text"/>
    <w:basedOn w:val="0"/>
    <w:next w:val="0"/>
    <w:pPr>
      <w:spacing w:after="120"/>
    </w:pPr>
    <w:rPr>
      <w:rFonts w:ascii="Times New Roman" w:hAnsi="Times New Roman"/>
    </w:rPr>
  </w:style>
  <w:style w:type="paragraph" w:styleId="19">
    <w:name w:val="Body Text Indent"/>
    <w:basedOn w:val="0"/>
    <w:next w:val="20"/>
    <w:pPr>
      <w:spacing w:after="120"/>
      <w:ind w:leftChars="200" w:left="200"/>
    </w:pPr>
  </w:style>
  <w:style w:type="paragraph" w:customStyle="1" w:styleId="20">
    <w:name w:val="Style1"/>
    <w:basedOn w:val="0"/>
    <w:pPr>
      <w:widowControl/>
      <w:tabs>
        <w:tab w:val="left" w:pos="-720"/>
      </w:tabs>
      <w:spacing w:after="120"/>
    </w:pPr>
    <w:rPr>
      <w:rFonts w:ascii="Times New Roman" w:eastAsia="宋体" w:hAnsi="Times New Roman"/>
      <w:spacing w:val="-3"/>
      <w:kern w:val="0"/>
      <w:sz w:val="24"/>
      <w:szCs w:val="20"/>
      <w:lang w:val="en-AU"/>
    </w:rPr>
  </w:style>
  <w:style w:type="paragraph" w:styleId="21">
    <w:name w:val="Plain Text"/>
    <w:basedOn w:val="0"/>
    <w:rPr>
      <w:rFonts w:cs="Courier New"/>
      <w:szCs w:val="21"/>
    </w:rPr>
  </w:style>
  <w:style w:type="paragraph" w:styleId="22">
    <w:name w:val="Date"/>
    <w:basedOn w:val="0"/>
    <w:next w:val="0"/>
    <w:pPr>
      <w:ind w:leftChars="2500" w:left="2500"/>
    </w:pPr>
    <w:rPr>
      <w:rFonts w:ascii="Calibri" w:hAnsi="Calibri"/>
    </w:rPr>
  </w:style>
  <w:style w:type="paragraph" w:styleId="23">
    <w:name w:val="Balloon Text"/>
    <w:basedOn w:val="0"/>
    <w:rPr>
      <w:sz w:val="18"/>
      <w:szCs w:val="18"/>
    </w:rPr>
  </w:style>
  <w:style w:type="paragraph" w:styleId="24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5">
    <w:name w:val="header"/>
    <w:next w:val="1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  <w:style w:type="paragraph" w:styleId="26">
    <w:name w:val="toc 1"/>
    <w:basedOn w:val="0"/>
    <w:next w:val="0"/>
  </w:style>
  <w:style w:type="paragraph" w:styleId="27">
    <w:name w:val="HTML Preformatted"/>
    <w:basedOn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eastAsia="宋体"/>
      <w:kern w:val="0"/>
      <w:sz w:val="24"/>
    </w:rPr>
  </w:style>
  <w:style w:type="paragraph" w:styleId="28">
    <w:name w:val="Normal (Web)"/>
    <w:basedOn w:val="0"/>
    <w:pPr>
      <w:widowControl/>
      <w:spacing w:before="100" w:beforeAutospacing="1" w:after="100" w:afterAutospacing="1"/>
      <w:jc w:val="left"/>
    </w:pPr>
    <w:rPr>
      <w:rFonts w:eastAsia="宋体" w:cs="宋体"/>
      <w:kern w:val="0"/>
      <w:sz w:val="24"/>
    </w:rPr>
  </w:style>
  <w:style w:type="paragraph" w:styleId="29">
    <w:name w:val="annotation subject"/>
    <w:basedOn w:val="17"/>
    <w:next w:val="17"/>
    <w:rPr>
      <w:b/>
      <w:bCs/>
    </w:rPr>
  </w:style>
  <w:style w:type="paragraph" w:styleId="30">
    <w:name w:val="Body Text First Indent"/>
    <w:basedOn w:val="18"/>
    <w:next w:val="0"/>
    <w:pPr>
      <w:spacing w:line="360" w:lineRule="auto"/>
      <w:ind w:firstLineChars="100" w:firstLine="100"/>
    </w:pPr>
    <w:rPr>
      <w:rFonts w:ascii="微软雅黑" w:eastAsia="微软雅黑" w:cs="微软雅黑"/>
      <w:szCs w:val="21"/>
    </w:rPr>
  </w:style>
  <w:style w:type="paragraph" w:styleId="31">
    <w:name w:val="Body Text First Indent 2"/>
    <w:basedOn w:val="19"/>
    <w:next w:val="28"/>
    <w:pPr>
      <w:spacing w:before="100" w:beforeAutospacing="1" w:afterAutospacing="1"/>
      <w:ind w:firstLineChars="200" w:firstLine="200"/>
    </w:pPr>
  </w:style>
  <w:style w:type="character" w:styleId="32">
    <w:name w:val="Strong"/>
    <w:basedOn w:val="10"/>
    <w:rPr>
      <w:b/>
      <w:bCs/>
    </w:rPr>
  </w:style>
  <w:style w:type="character" w:styleId="33">
    <w:name w:val="FollowedHyperlink"/>
    <w:rPr>
      <w:color w:val="337AB7"/>
      <w:u w:val="none"/>
    </w:rPr>
  </w:style>
  <w:style w:type="character" w:styleId="34">
    <w:name w:val="HTML Definition"/>
    <w:basedOn w:val="10"/>
    <w:rPr>
      <w:i/>
      <w:iCs/>
    </w:rPr>
  </w:style>
  <w:style w:type="character" w:styleId="35">
    <w:name w:val="Hyperlink"/>
    <w:rPr>
      <w:color w:val="337AB7"/>
      <w:u w:val="none"/>
    </w:rPr>
  </w:style>
  <w:style w:type="character" w:styleId="36">
    <w:name w:val="HTML Code"/>
    <w:rPr>
      <w:rFonts w:ascii="Consolas" w:eastAsia="Consolas" w:cs="Consolas" w:hAnsi="Consolas"/>
      <w:color w:val="C7254E"/>
      <w:sz w:val="21"/>
      <w:szCs w:val="21"/>
      <w:shd w:val="clear" w:color="auto" w:fill="F9F2F4"/>
    </w:rPr>
  </w:style>
  <w:style w:type="character" w:styleId="37">
    <w:name w:val="annotation reference"/>
    <w:basedOn w:val="10"/>
    <w:rPr>
      <w:sz w:val="21"/>
      <w:szCs w:val="21"/>
    </w:rPr>
  </w:style>
  <w:style w:type="character" w:styleId="38">
    <w:name w:val="HTML Keyboard"/>
    <w:rPr>
      <w:rFonts w:ascii="Consolas" w:eastAsia="Consolas" w:cs="Consolas" w:hAnsi="Consolas"/>
      <w:color w:val="FFFFFF"/>
      <w:sz w:val="21"/>
      <w:szCs w:val="21"/>
      <w:shd w:val="clear" w:color="auto" w:fill="333333"/>
    </w:rPr>
  </w:style>
  <w:style w:type="character" w:styleId="39">
    <w:name w:val="HTML Sample"/>
    <w:rPr>
      <w:rFonts w:ascii="Consolas" w:eastAsia="Consolas" w:cs="Consolas" w:hAnsi="Consolas"/>
      <w:sz w:val="21"/>
      <w:szCs w:val="21"/>
    </w:rPr>
  </w:style>
  <w:style w:type="paragraph" w:customStyle="1" w:styleId="40">
    <w:name w:val="基准标题"/>
    <w:basedOn w:val="0"/>
    <w:next w:val="18"/>
    <w:pPr>
      <w:keepNext/>
      <w:keepLines/>
      <w:widowControl w:val="0"/>
      <w:spacing w:before="140" w:line="220" w:lineRule="atLeast"/>
    </w:pPr>
    <w:rPr>
      <w:rFonts w:ascii="Arial" w:eastAsia="宋体" w:hAnsi="Arial"/>
      <w:spacing w:val="-4"/>
      <w:kern w:val="28"/>
      <w:sz w:val="22"/>
    </w:rPr>
  </w:style>
  <w:style w:type="paragraph" w:customStyle="1" w:styleId="41">
    <w:name w:val="章节题目"/>
    <w:basedOn w:val="40"/>
    <w:next w:val="0"/>
    <w:pPr>
      <w:spacing w:before="720" w:after="400" w:line="540" w:lineRule="atLeast"/>
      <w:ind w:right="2160"/>
    </w:pPr>
    <w:rPr>
      <w:rFonts w:ascii="Times New Roman" w:eastAsia="Times New Roman" w:hAnsi="Times New Roman"/>
      <w:spacing w:val="-40"/>
      <w:sz w:val="60"/>
    </w:rPr>
  </w:style>
  <w:style w:type="paragraph" w:customStyle="1" w:styleId="42">
    <w:name w:val="List Paragraph"/>
    <w:basedOn w:val="0"/>
    <w:pPr>
      <w:ind w:firstLineChars="200" w:firstLine="200"/>
    </w:pPr>
  </w:style>
  <w:style w:type="paragraph" w:customStyle="1" w:styleId="43">
    <w:name w:val="0正文"/>
    <w:pPr>
      <w:widowControl w:val="0"/>
      <w:spacing w:line="360" w:lineRule="auto"/>
      <w:ind w:firstLineChars="200" w:firstLine="200"/>
    </w:pPr>
    <w:rPr>
      <w:rFonts w:ascii="Times New Roman" w:eastAsia="宋体" w:cs="Times New Roman" w:hAnsi="Times New Roman"/>
      <w:sz w:val="24"/>
      <w:szCs w:val="22"/>
      <w:lang w:val="en-US" w:eastAsia="zh-CN" w:bidi="ar-SA"/>
    </w:rPr>
  </w:style>
  <w:style w:type="paragraph" w:customStyle="1" w:styleId="44">
    <w:name w:val="样式1"/>
    <w:basedOn w:val="0"/>
    <w:pPr>
      <w:numPr>
        <w:ilvl w:val="0"/>
        <w:numId w:val="2"/>
      </w:numPr>
      <w:adjustRightInd w:val="0"/>
      <w:textAlignment w:val="baseline"/>
    </w:pPr>
    <w:rPr>
      <w:kern w:val="0"/>
      <w:szCs w:val="21"/>
    </w:rPr>
  </w:style>
  <w:style w:type="paragraph" w:customStyle="1" w:styleId="45">
    <w:name w:val="正文1"/>
    <w:basedOn w:val="44"/>
    <w:pPr>
      <w:tabs>
        <w:tab w:val="left" w:pos="709"/>
      </w:tabs>
      <w:spacing w:before="120" w:after="120" w:line="180" w:lineRule="auto"/>
      <w:ind w:left="0" w:firstLineChars="200" w:firstLine="200"/>
    </w:pPr>
    <w:rPr>
      <w:rFonts w:eastAsia="Adobe 仿宋 Std R"/>
    </w:rPr>
  </w:style>
  <w:style w:type="paragraph" w:customStyle="1" w:styleId="46">
    <w:name w:val="WPSOffice手动目录 3"/>
    <w:pPr>
      <w:ind w:leftChars="400" w:left="400"/>
    </w:pPr>
    <w:rPr>
      <w:rFonts w:ascii="宋体" w:eastAsia="宋体" w:cs="Times New Roman"/>
      <w:sz w:val="20"/>
      <w:szCs w:val="20"/>
      <w:lang w:val="en-US" w:eastAsia="zh-CN" w:bidi="ar-SA"/>
    </w:rPr>
  </w:style>
  <w:style w:type="paragraph" w:customStyle="1" w:styleId="47">
    <w:name w:val="目录 41"/>
    <w:next w:val="0"/>
    <w:pPr>
      <w:wordWrap w:val="0"/>
      <w:ind w:left="1275"/>
      <w:jc w:val="both"/>
    </w:pPr>
    <w:rPr>
      <w:rFonts w:ascii="宋体" w:eastAsia="宋体" w:cs="Times New Roman"/>
      <w:sz w:val="21"/>
      <w:szCs w:val="20"/>
      <w:lang w:val="en-US" w:eastAsia="zh-CN" w:bidi="ar-SA"/>
    </w:rPr>
  </w:style>
  <w:style w:type="paragraph" w:customStyle="1" w:styleId="48">
    <w:name w:val="WPSOffice手动目录 2"/>
    <w:pPr>
      <w:ind w:leftChars="200" w:left="200"/>
    </w:pPr>
    <w:rPr>
      <w:rFonts w:ascii="宋体" w:eastAsia="宋体" w:cs="Times New Roman"/>
      <w:sz w:val="20"/>
      <w:szCs w:val="20"/>
      <w:lang w:val="en-US" w:eastAsia="zh-CN" w:bidi="ar-SA"/>
    </w:rPr>
  </w:style>
  <w:style w:type="paragraph" w:customStyle="1" w:styleId="49">
    <w:name w:val="样式H"/>
    <w:basedOn w:val="1"/>
    <w:next w:val="0"/>
    <w:pPr>
      <w:spacing w:before="100" w:line="500" w:lineRule="exact"/>
    </w:pPr>
  </w:style>
  <w:style w:type="paragraph" w:customStyle="1" w:styleId="50">
    <w:name w:val="样式N"/>
    <w:basedOn w:val="49"/>
    <w:rPr>
      <w:sz w:val="30"/>
    </w:rPr>
  </w:style>
  <w:style w:type="paragraph" w:customStyle="1" w:styleId="51">
    <w:name w:val="newnewnewnew"/>
    <w:basedOn w:val="0"/>
    <w:pPr>
      <w:widowControl/>
      <w:spacing w:before="100" w:beforeAutospacing="1" w:after="100" w:afterAutospacing="1"/>
      <w:jc w:val="left"/>
    </w:pPr>
    <w:rPr>
      <w:rFonts w:cs="宋体"/>
      <w:kern w:val="0"/>
      <w:sz w:val="24"/>
    </w:rPr>
  </w:style>
  <w:style w:type="paragraph" w:customStyle="1" w:styleId="52">
    <w:name w:val="_Style 3"/>
    <w:pPr>
      <w:widowControl w:val="0"/>
      <w:jc w:val="both"/>
    </w:pPr>
    <w:rPr>
      <w:rFonts w:ascii="宋体" w:eastAsia="宋体" w:cs="Times New Roman"/>
      <w:kern w:val="2"/>
      <w:sz w:val="21"/>
      <w:szCs w:val="22"/>
      <w:lang w:val="en-US" w:eastAsia="zh-CN" w:bidi="ar-SA"/>
    </w:rPr>
  </w:style>
  <w:style w:type="paragraph" w:customStyle="1" w:styleId="53">
    <w:name w:val="样式"/>
    <w:pPr>
      <w:widowControl w:val="0"/>
      <w:autoSpaceDE w:val="0"/>
      <w:autoSpaceDN w:val="0"/>
      <w:adjustRightInd w:val="0"/>
    </w:pPr>
    <w:rPr>
      <w:rFonts w:ascii="宋体" w:eastAsia="宋体" w:cs="宋体"/>
      <w:sz w:val="24"/>
      <w:szCs w:val="24"/>
      <w:lang w:val="en-US" w:eastAsia="zh-CN" w:bidi="ar-SA"/>
    </w:rPr>
  </w:style>
  <w:style w:type="paragraph" w:customStyle="1" w:styleId="54">
    <w:name w:val="WPSOffice手动目录 1"/>
    <w:rPr>
      <w:rFonts w:ascii="宋体" w:eastAsia="宋体" w:cs="Times New Roman"/>
      <w:sz w:val="20"/>
      <w:szCs w:val="20"/>
      <w:lang w:val="en-US" w:eastAsia="zh-CN" w:bidi="ar-SA"/>
    </w:rPr>
  </w:style>
  <w:style w:type="paragraph" w:customStyle="1" w:styleId="55">
    <w:name w:val="列出段落11"/>
    <w:basedOn w:val="0"/>
    <w:pPr>
      <w:ind w:firstLineChars="200" w:firstLine="200"/>
    </w:pPr>
    <w:rPr>
      <w:rFonts w:ascii="Calibri" w:eastAsia="宋体" w:hAnsi="Calibri"/>
      <w:szCs w:val="22"/>
      <w:lang w:val="zh-CN"/>
    </w:rPr>
  </w:style>
  <w:style w:type="character" w:customStyle="1" w:styleId="56">
    <w:name w:val="font01"/>
    <w:rPr>
      <w:rFonts w:ascii="楷体_GB2312" w:eastAsia="楷体_GB2312" w:cs="楷体_GB2312"/>
      <w:color w:val="000000"/>
      <w:sz w:val="24"/>
      <w:szCs w:val="24"/>
      <w:u w:val="none"/>
    </w:rPr>
  </w:style>
  <w:style w:type="character" w:customStyle="1" w:styleId="57">
    <w:name w:val="页脚 Char"/>
    <w:rPr>
      <w:rFonts w:eastAsia="Courier New"/>
      <w:kern w:val="2"/>
      <w:sz w:val="18"/>
      <w:szCs w:val="24"/>
    </w:rPr>
  </w:style>
  <w:style w:type="character" w:customStyle="1" w:styleId="58">
    <w:name w:val="checked"/>
    <w:rPr>
      <w:color w:val="5390CD"/>
    </w:rPr>
  </w:style>
  <w:style w:type="paragraph" w:customStyle="1" w:styleId="59">
    <w:name w:val="列表段落1"/>
    <w:basedOn w:val="0"/>
    <w:pPr>
      <w:ind w:firstLineChars="200" w:firstLine="200"/>
    </w:pPr>
  </w:style>
  <w:style w:type="paragraph" w:customStyle="1" w:styleId="60">
    <w:name w:val="Default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61">
    <w:name w:val="无间隔1"/>
    <w:pPr>
      <w:widowControl w:val="0"/>
      <w:spacing w:line="360" w:lineRule="auto"/>
      <w:jc w:val="both"/>
    </w:pPr>
    <w:rPr>
      <w:rFonts w:ascii="Times New Roman" w:eastAsia="宋体" w:cs="Times New Roman" w:hAnsi="Times New Roman"/>
      <w:sz w:val="24"/>
      <w:szCs w:val="20"/>
      <w:lang w:val="en-US" w:eastAsia="zh-CN" w:bidi="ar-SA"/>
    </w:rPr>
  </w:style>
  <w:style w:type="paragraph" w:customStyle="1" w:styleId="62">
    <w:name w:val="列出段落2"/>
    <w:basedOn w:val="0"/>
    <w:pPr>
      <w:ind w:firstLineChars="200" w:firstLine="200"/>
    </w:pPr>
    <w:rPr>
      <w:kern w:val="0"/>
      <w:sz w:val="20"/>
    </w:rPr>
  </w:style>
  <w:style w:type="paragraph" w:customStyle="1" w:styleId="63">
    <w:name w:val="Normal_5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64">
    <w:name w:val="_Style 56"/>
    <w:basedOn w:val="0"/>
    <w:next w:val="0"/>
    <w:pPr>
      <w:pBdr>
        <w:bottom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65">
    <w:name w:val="_Style 57"/>
    <w:basedOn w:val="0"/>
    <w:next w:val="0"/>
    <w:pPr>
      <w:pBdr>
        <w:top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character" w:customStyle="1" w:styleId="66">
    <w:name w:val="control-label-text1"/>
    <w:basedOn w:val="10"/>
  </w:style>
  <w:style w:type="character" w:customStyle="1" w:styleId="67">
    <w:name w:val="hour_pm"/>
    <w:basedOn w:val="10"/>
  </w:style>
  <w:style w:type="character" w:customStyle="1" w:styleId="68">
    <w:name w:val="hour_am"/>
    <w:basedOn w:val="10"/>
  </w:style>
  <w:style w:type="character" w:customStyle="1" w:styleId="69">
    <w:name w:val="hover1"/>
    <w:basedOn w:val="10"/>
    <w:rPr>
      <w:shd w:val="clear" w:color="auto" w:fill="EEEEEE"/>
    </w:rPr>
  </w:style>
  <w:style w:type="character" w:customStyle="1" w:styleId="70">
    <w:name w:val="old"/>
    <w:basedOn w:val="10"/>
    <w:rPr>
      <w:color w:val="999999"/>
    </w:rPr>
  </w:style>
  <w:style w:type="character" w:customStyle="1" w:styleId="71">
    <w:name w:val="glyphicon6"/>
    <w:basedOn w:val="10"/>
  </w:style>
  <w:style w:type="character" w:customStyle="1" w:styleId="72">
    <w:name w:val="indent"/>
    <w:basedOn w:val="10"/>
  </w:style>
  <w:style w:type="character" w:customStyle="1" w:styleId="73">
    <w:name w:val="icon"/>
    <w:basedOn w:val="10"/>
  </w:style>
  <w:style w:type="character" w:customStyle="1" w:styleId="74">
    <w:name w:val="glyphicon"/>
    <w:basedOn w:val="10"/>
  </w:style>
  <w:style w:type="paragraph" w:customStyle="1" w:styleId="75">
    <w:name w:val="_Style 67"/>
    <w:basedOn w:val="0"/>
    <w:next w:val="0"/>
    <w:pPr>
      <w:pBdr>
        <w:bottom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76">
    <w:name w:val="_Style 68"/>
    <w:basedOn w:val="0"/>
    <w:next w:val="0"/>
    <w:pPr>
      <w:pBdr>
        <w:top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77">
    <w:name w:val="段"/>
    <w:next w:val="0"/>
    <w:pPr>
      <w:autoSpaceDE w:val="0"/>
      <w:autoSpaceDN w:val="0"/>
      <w:ind w:firstLine="200"/>
      <w:jc w:val="both"/>
    </w:pPr>
    <w:rPr>
      <w:rFonts w:ascii="宋体" w:eastAsia="宋体" w:cs="Times New Roman"/>
      <w:sz w:val="21"/>
      <w:szCs w:val="20"/>
      <w:lang w:val="en-US" w:eastAsia="zh-CN" w:bidi="ar-SA"/>
    </w:rPr>
  </w:style>
  <w:style w:type="paragraph" w:customStyle="1" w:styleId="78">
    <w:name w:val="列出段落1"/>
    <w:basedOn w:val="0"/>
    <w:pPr>
      <w:ind w:firstLineChars="200" w:firstLine="200"/>
    </w:pPr>
  </w:style>
  <w:style w:type="paragraph" w:customStyle="1" w:styleId="79">
    <w:name w:val="正文文本 (2)"/>
    <w:basedOn w:val="0"/>
    <w:pPr>
      <w:shd w:val="clear" w:color="auto" w:fill="FFFFFF"/>
      <w:jc w:val="left"/>
    </w:pPr>
    <w:rPr>
      <w:rFonts w:eastAsia="宋体"/>
      <w:kern w:val="0"/>
      <w:sz w:val="20"/>
      <w:szCs w:val="20"/>
    </w:rPr>
  </w:style>
  <w:style w:type="character" w:customStyle="1" w:styleId="80">
    <w:name w:val="NormalCharacter"/>
  </w:style>
  <w:style w:type="character" w:customStyle="1" w:styleId="81">
    <w:name w:val="font11"/>
    <w:basedOn w:val="1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82">
    <w:name w:val="font41"/>
    <w:basedOn w:val="10"/>
    <w:rPr>
      <w:rFonts w:ascii="宋体" w:eastAsia="宋体" w:cs="宋体"/>
      <w:color w:val="FF0000"/>
      <w:sz w:val="20"/>
      <w:szCs w:val="20"/>
      <w:u w:val="none"/>
    </w:rPr>
  </w:style>
  <w:style w:type="character" w:customStyle="1" w:styleId="83">
    <w:name w:val="font31"/>
    <w:basedOn w:val="10"/>
    <w:rPr>
      <w:rFonts w:ascii="宋体" w:eastAsia="宋体" w:cs="宋体"/>
      <w:color w:val="000000"/>
      <w:sz w:val="20"/>
      <w:szCs w:val="20"/>
      <w:u w:val="none"/>
    </w:rPr>
  </w:style>
  <w:style w:type="paragraph" w:customStyle="1" w:styleId="84">
    <w:name w:val="Body Text First Indent1"/>
    <w:basedOn w:val="18"/>
    <w:pPr>
      <w:ind w:firstLineChars="100" w:firstLine="100"/>
    </w:pPr>
  </w:style>
  <w:style w:type="character" w:customStyle="1" w:styleId="85">
    <w:name w:val="font5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paragraph" w:customStyle="1" w:styleId="86">
    <w:name w:val="BodyText"/>
    <w:basedOn w:val="0"/>
    <w:pPr>
      <w:spacing w:after="120"/>
      <w:textAlignment w:val="baseline"/>
    </w:pPr>
  </w:style>
  <w:style w:type="paragraph" w:customStyle="1" w:styleId="87">
    <w:name w:val="BodyText1I"/>
    <w:basedOn w:val="86"/>
    <w:pPr>
      <w:spacing w:after="0"/>
    </w:pPr>
    <w:rPr>
      <w:sz w:val="24"/>
    </w:rPr>
  </w:style>
  <w:style w:type="character" w:customStyle="1" w:styleId="88">
    <w:name w:val="font10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89">
    <w:name w:val="font112"/>
    <w:basedOn w:val="10"/>
    <w:rPr>
      <w:rFonts w:ascii="方正仿宋_GBK" w:eastAsia="方正仿宋_GBK" w:cs="方正仿宋_GBK"/>
      <w:color w:val="000000"/>
      <w:sz w:val="22"/>
      <w:szCs w:val="22"/>
      <w:u w:val="none"/>
    </w:rPr>
  </w:style>
  <w:style w:type="character" w:customStyle="1" w:styleId="90">
    <w:name w:val="font71"/>
    <w:basedOn w:val="10"/>
    <w:rPr>
      <w:rFonts w:ascii="Times New Roman" w:cs="Times New Roman" w:hAnsi="Times New Roman"/>
      <w:color w:val="000000"/>
      <w:sz w:val="22"/>
      <w:szCs w:val="22"/>
      <w:u w:val="none"/>
    </w:rPr>
  </w:style>
  <w:style w:type="character" w:customStyle="1" w:styleId="91">
    <w:name w:val="font12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92">
    <w:name w:val="font61"/>
    <w:basedOn w:val="10"/>
    <w:rPr>
      <w:rFonts w:ascii="宋体" w:eastAsia="宋体" w:cs="宋体"/>
      <w:color w:val="000000"/>
      <w:sz w:val="21"/>
      <w:szCs w:val="21"/>
      <w:u w:val="none"/>
    </w:rPr>
  </w:style>
  <w:style w:type="character" w:customStyle="1" w:styleId="93">
    <w:name w:val="font81"/>
    <w:basedOn w:val="10"/>
    <w:rPr>
      <w:rFonts w:ascii="方正仿宋_GBK" w:eastAsia="方正仿宋_GBK" w:cs="方正仿宋_GBK"/>
      <w:color w:val="000000"/>
      <w:sz w:val="22"/>
      <w:szCs w:val="22"/>
      <w:u w:val="none"/>
      <w:vertAlign w:val="subscript"/>
    </w:rPr>
  </w:style>
  <w:style w:type="character" w:customStyle="1" w:styleId="94">
    <w:name w:val="font131"/>
    <w:basedOn w:val="1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95">
    <w:name w:val="font141"/>
    <w:basedOn w:val="10"/>
    <w:rPr>
      <w:rFonts w:ascii="方正仿宋_GBK" w:eastAsia="方正仿宋_GBK" w:cs="方正仿宋_GBK"/>
      <w:color w:val="000000"/>
      <w:sz w:val="22"/>
      <w:szCs w:val="22"/>
      <w:u w:val="none"/>
    </w:rPr>
  </w:style>
  <w:style w:type="character" w:customStyle="1" w:styleId="96">
    <w:name w:val="font151"/>
    <w:basedOn w:val="10"/>
    <w:rPr>
      <w:rFonts w:ascii="Times New Roman" w:cs="Times New Roman" w:hAnsi="Times New Roman"/>
      <w:color w:val="000000"/>
      <w:sz w:val="24"/>
      <w:szCs w:val="24"/>
      <w:u w:val="none"/>
    </w:rPr>
  </w:style>
  <w:style w:type="character" w:customStyle="1" w:styleId="97">
    <w:name w:val="font91"/>
    <w:basedOn w:val="10"/>
    <w:rPr>
      <w:rFonts w:ascii="Cambria Math" w:eastAsia="Cambria Math" w:cs="Cambria Math" w:hAnsi="Cambria Math"/>
      <w:color w:val="FF0000"/>
      <w:sz w:val="20"/>
      <w:szCs w:val="20"/>
      <w:u w:val="none"/>
    </w:rPr>
  </w:style>
  <w:style w:type="character" w:customStyle="1" w:styleId="98">
    <w:name w:val="font111"/>
    <w:basedOn w:val="10"/>
    <w:rPr>
      <w:rFonts w:ascii="Microsoft YaHei UI" w:eastAsia="Microsoft YaHei UI" w:cs="Microsoft YaHei UI" w:hAnsi="Microsoft YaHei UI"/>
      <w:color w:val="FF0000"/>
      <w:sz w:val="20"/>
      <w:szCs w:val="20"/>
      <w:u w:val="none"/>
    </w:rPr>
  </w:style>
  <w:style w:type="character" w:customStyle="1" w:styleId="99">
    <w:name w:val="font2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paragraph" w:customStyle="1" w:styleId="100">
    <w:name w:val="样式 2 10 磅"/>
    <w:next w:val="26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1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2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3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4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5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6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7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8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9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0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1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2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3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4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5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6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7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8">
    <w:name w:val="样式 1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19">
    <w:name w:val="样式 19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0">
    <w:name w:val="样式 20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1">
    <w:name w:val="样式 小四"/>
    <w:rPr>
      <w:rFonts w:ascii="Times New Roman" w:eastAsia="SimSun" w:cs="Times New Roman" w:hAnsi="Times New Roman"/>
      <w:sz w:val="24"/>
      <w:szCs w:val="24"/>
      <w:lang w:val="en-US" w:eastAsia="zh-CN" w:bidi="ar-SA"/>
    </w:rPr>
  </w:style>
  <w:style w:type="paragraph" w:customStyle="1" w:styleId="122">
    <w:name w:val="样式 21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3">
    <w:name w:val="样式 22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4">
    <w:name w:val="样式 23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5">
    <w:name w:val="样式 24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6">
    <w:name w:val="样式 25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7">
    <w:name w:val="样式 1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28">
    <w:name w:val="样式 26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9">
    <w:name w:val="样式 5 小四"/>
    <w:next w:val="20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30">
    <w:name w:val="样式 2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31">
    <w:name w:val="样式 3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32">
    <w:name w:val="样式 27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3">
    <w:name w:val="样式 2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4">
    <w:name w:val="样式 29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5">
    <w:name w:val="样式 30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6">
    <w:name w:val="样式 31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7">
    <w:name w:val="样式 32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8">
    <w:name w:val="样式 33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9">
    <w:name w:val="样式 34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0">
    <w:name w:val="样式 35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1">
    <w:name w:val="样式 36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2">
    <w:name w:val="样式 37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3">
    <w:name w:val="样式 3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4">
    <w:name w:val="样式 39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5">
    <w:name w:val="样式 40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6">
    <w:name w:val="样式 4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47">
    <w:name w:val="样式 4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48">
    <w:name w:val="样式 43 10 磅"/>
    <w:next w:val="67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49">
    <w:name w:val="样式 四号"/>
    <w:pPr>
      <w:keepNext/>
      <w:keepLines/>
      <w:widowControl w:val="0"/>
      <w:spacing w:before="140" w:after="140" w:line="413" w:lineRule="auto"/>
      <w:jc w:val="center"/>
      <w:outlineLvl w:val="1"/>
    </w:pPr>
    <w:rPr>
      <w:rFonts w:ascii="Arial" w:eastAsia="仿宋" w:cs="Times New Roman" w:hAnsi="Arial"/>
      <w:b/>
      <w:kern w:val="2"/>
      <w:sz w:val="28"/>
      <w:szCs w:val="24"/>
      <w:lang w:val="en-US" w:eastAsia="zh-CN" w:bidi="ar-SA"/>
    </w:rPr>
  </w:style>
  <w:style w:type="paragraph" w:customStyle="1" w:styleId="150">
    <w:name w:val="样式 44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1">
    <w:name w:val="样式 4 小四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152">
    <w:name w:val="样式 4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53">
    <w:name w:val="样式 4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54">
    <w:name w:val="样式 47 10 磅"/>
    <w:next w:val="71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55">
    <w:name w:val="样式 4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56">
    <w:name w:val="样式 4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57">
    <w:name w:val="样式 5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58">
    <w:name w:val="样式 51 10 磅"/>
    <w:next w:val="75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59">
    <w:name w:val="样式 5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0">
    <w:name w:val="样式 5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1">
    <w:name w:val="样式 5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2">
    <w:name w:val="样式 55 10 磅"/>
    <w:next w:val="79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3">
    <w:name w:val="样式 5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4">
    <w:name w:val="样式 5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5">
    <w:name w:val="样式 5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6">
    <w:name w:val="样式 5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7">
    <w:name w:val="样式 6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8">
    <w:name w:val="样式 6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9">
    <w:name w:val="样式 6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70">
    <w:name w:val="样式 小五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  <w:style w:type="paragraph" w:customStyle="1" w:styleId="171">
    <w:name w:val="样式 1 四号"/>
    <w:pPr>
      <w:keepNext/>
      <w:keepLines/>
      <w:widowControl w:val="0"/>
      <w:spacing w:before="140" w:after="140" w:line="413" w:lineRule="auto"/>
      <w:jc w:val="center"/>
      <w:outlineLvl w:val="1"/>
    </w:pPr>
    <w:rPr>
      <w:rFonts w:ascii="Arial" w:eastAsia="仿宋" w:cs="Times New Roman" w:hAnsi="Arial"/>
      <w:b/>
      <w:kern w:val="2"/>
      <w:sz w:val="28"/>
      <w:szCs w:val="24"/>
      <w:lang w:val="en-US" w:eastAsia="zh-CN" w:bidi="ar-SA"/>
    </w:rPr>
  </w:style>
  <w:style w:type="paragraph" w:customStyle="1" w:styleId="172">
    <w:name w:val="样式 63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73">
    <w:name w:val="样式 64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74">
    <w:name w:val="样式 6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75">
    <w:name w:val="样式 66 10 磅"/>
    <w:next w:val="90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76">
    <w:name w:val="样式 67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77">
    <w:name w:val="样式 6 小四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178">
    <w:name w:val="样式 6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79">
    <w:name w:val="样式 6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80">
    <w:name w:val="样式 2 四号"/>
    <w:pPr>
      <w:keepNext/>
      <w:keepLines/>
      <w:widowControl w:val="0"/>
      <w:spacing w:before="140" w:after="140" w:line="413" w:lineRule="auto"/>
      <w:jc w:val="center"/>
      <w:outlineLvl w:val="1"/>
    </w:pPr>
    <w:rPr>
      <w:rFonts w:ascii="Arial" w:eastAsia="仿宋" w:cs="Times New Roman" w:hAnsi="Arial"/>
      <w:b/>
      <w:kern w:val="2"/>
      <w:sz w:val="28"/>
      <w:szCs w:val="24"/>
      <w:lang w:val="en-US" w:eastAsia="zh-CN" w:bidi="ar-SA"/>
    </w:rPr>
  </w:style>
  <w:style w:type="paragraph" w:customStyle="1" w:styleId="181">
    <w:name w:val="样式 7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82">
    <w:name w:val="样式 7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83">
    <w:name w:val="样式 72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84">
    <w:name w:val="样式 7 小四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185">
    <w:name w:val="样式 73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86">
    <w:name w:val="样式 7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87">
    <w:name w:val="样式 7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88">
    <w:name w:val="样式 7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89">
    <w:name w:val="样式 77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90">
    <w:name w:val="样式 8 小四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191">
    <w:name w:val="样式 7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92">
    <w:name w:val="样式 7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93">
    <w:name w:val="样式 8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94">
    <w:name w:val="样式 8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95">
    <w:name w:val="样式 8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96">
    <w:name w:val="样式 8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97">
    <w:name w:val="样式 9 小四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198">
    <w:name w:val="样式 84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99">
    <w:name w:val="样式 85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0">
    <w:name w:val="样式 86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1">
    <w:name w:val="样式 87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2">
    <w:name w:val="样式 88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3">
    <w:name w:val="样式 89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4">
    <w:name w:val="样式 9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05">
    <w:name w:val="样式 91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6">
    <w:name w:val="样式 92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7">
    <w:name w:val="样式 9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08">
    <w:name w:val="样式 9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09">
    <w:name w:val="样式 95 10 磅"/>
    <w:pPr>
      <w:widowControl w:val="0"/>
      <w:shd w:val="clear" w:color="auto" w:fill="FFFFFF"/>
      <w:jc w:val="left"/>
    </w:pPr>
    <w:rPr>
      <w:rFonts w:ascii="宋体" w:eastAsia="宋体" w:cs="Times New Roman"/>
      <w:kern w:val="0"/>
      <w:sz w:val="20"/>
      <w:szCs w:val="20"/>
      <w:lang w:val="en-US" w:eastAsia="zh-CN" w:bidi="ar-SA"/>
    </w:rPr>
  </w:style>
  <w:style w:type="paragraph" w:customStyle="1" w:styleId="210">
    <w:name w:val="样式 9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1">
    <w:name w:val="样式 9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2">
    <w:name w:val="样式 98 10 磅"/>
    <w:pPr>
      <w:widowControl w:val="0"/>
      <w:shd w:val="clear" w:color="auto" w:fill="FFFFFF"/>
      <w:jc w:val="left"/>
    </w:pPr>
    <w:rPr>
      <w:rFonts w:ascii="宋体" w:eastAsia="宋体" w:cs="Times New Roman"/>
      <w:kern w:val="0"/>
      <w:sz w:val="20"/>
      <w:szCs w:val="20"/>
      <w:lang w:val="en-US" w:eastAsia="zh-CN" w:bidi="ar-SA"/>
    </w:rPr>
  </w:style>
  <w:style w:type="paragraph" w:customStyle="1" w:styleId="213">
    <w:name w:val="样式 9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4">
    <w:name w:val="样式 10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5">
    <w:name w:val="样式 10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6">
    <w:name w:val="样式 10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7">
    <w:name w:val="样式 10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8">
    <w:name w:val="样式 10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9">
    <w:name w:val="样式 10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20">
    <w:name w:val="样式 10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21">
    <w:name w:val="样式 10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22">
    <w:name w:val="样式 108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23">
    <w:name w:val="样式 109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24">
    <w:name w:val="样式 11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2175</TotalTime>
  <Application>Yozo_Office</Application>
  <Pages>16</Pages>
  <Words>4424</Words>
  <Characters>4708</Characters>
  <Lines>597</Lines>
  <Paragraphs>273</Paragraphs>
  <CharactersWithSpaces>5089</CharactersWithSpaces>
  <Company>Sky123.Org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张侃</cp:lastModifiedBy>
  <cp:revision>2</cp:revision>
  <cp:lastPrinted>2024-09-29T03:59:00Z</cp:lastPrinted>
  <dcterms:created xsi:type="dcterms:W3CDTF">2024-08-06T05:59:00Z</dcterms:created>
  <dcterms:modified xsi:type="dcterms:W3CDTF">2025-11-20T05:11:53Z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2052-12.1.0.18276</vt:lpwstr>
  </property>
  <property fmtid="{D5CDD505-2E9C-101B-9397-08002B2CF9AE}" pid="3" name="ICV">
    <vt:lpwstr>7CECB429D442499397EA1184EF71FCE7_13</vt:lpwstr>
  </property>
  <property fmtid="{D5CDD505-2E9C-101B-9397-08002B2CF9AE}" pid="4" name="commondata">
    <vt:lpwstr>eyJoZGlkIjoiM2Y1ZjQyOWQ5MGEzOWVmOTVjMzkwMzYyZDVjM2RlZjMifQ==</vt:lpwstr>
  </property>
</Properties>
</file>