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1"/>
        <w:widowControl/>
        <w:spacing w:line="560" w:lineRule="exact"/>
        <w:rPr>
          <w:rFonts w:eastAsia="方正黑体_GBK"/>
          <w:sz w:val="32"/>
          <w:szCs w:val="32"/>
        </w:rPr>
      </w:pPr>
      <w:r>
        <w:rPr>
          <w:rFonts w:eastAsia="方正黑体_GBK" w:hint="eastAsia"/>
          <w:sz w:val="32"/>
          <w:szCs w:val="32"/>
        </w:rPr>
        <w:t>附件</w:t>
      </w:r>
      <w:r>
        <w:rPr>
          <w:rFonts w:eastAsia="方正黑体_GBK"/>
          <w:sz w:val="32"/>
          <w:szCs w:val="32"/>
        </w:rPr>
        <w:t>1</w:t>
      </w:r>
    </w:p>
    <w:p>
      <w:pPr>
        <w:pStyle w:val="20"/>
        <w:adjustRightInd w:val="0"/>
        <w:snapToGrid w:val="0"/>
        <w:spacing w:line="560" w:lineRule="exact"/>
        <w:ind w:firstLineChars="0" w:firstLine="0"/>
        <w:jc w:val="center"/>
        <w:rPr>
          <w:rFonts w:eastAsia="方正小标宋_GBK"/>
          <w:sz w:val="44"/>
          <w:szCs w:val="44"/>
        </w:rPr>
      </w:pPr>
    </w:p>
    <w:p>
      <w:pPr>
        <w:pStyle w:val="20"/>
        <w:adjustRightInd w:val="0"/>
        <w:snapToGrid w:val="0"/>
        <w:spacing w:line="560" w:lineRule="exact"/>
        <w:ind w:firstLineChars="0" w:firstLine="0"/>
        <w:jc w:val="center"/>
        <w:rPr>
          <w:rFonts w:eastAsia="方正小标宋_GBK"/>
          <w:sz w:val="44"/>
          <w:szCs w:val="44"/>
        </w:rPr>
      </w:pPr>
      <w:r>
        <w:rPr>
          <w:rFonts w:eastAsia="方正小标宋_GBK" w:hint="eastAsia"/>
          <w:sz w:val="44"/>
          <w:szCs w:val="44"/>
        </w:rPr>
        <w:t>沈阳海关信息化应用</w:t>
      </w:r>
      <w:r>
        <w:rPr>
          <w:rFonts w:eastAsia="方正小标宋_GBK"/>
          <w:sz w:val="44"/>
          <w:szCs w:val="44"/>
        </w:rPr>
        <w:t>项目</w:t>
      </w:r>
      <w:r>
        <w:rPr>
          <w:rFonts w:eastAsia="方正小标宋_GBK" w:hint="eastAsia"/>
          <w:sz w:val="44"/>
          <w:szCs w:val="44"/>
        </w:rPr>
        <w:t>驻场开发</w:t>
      </w:r>
    </w:p>
    <w:p>
      <w:pPr>
        <w:pStyle w:val="20"/>
        <w:adjustRightInd w:val="0"/>
        <w:snapToGrid w:val="0"/>
        <w:spacing w:line="560" w:lineRule="exact"/>
        <w:ind w:firstLineChars="0" w:firstLine="0"/>
        <w:jc w:val="center"/>
        <w:rPr>
          <w:rFonts w:eastAsia="方正小标宋_GBK"/>
          <w:sz w:val="44"/>
          <w:szCs w:val="44"/>
        </w:rPr>
      </w:pPr>
      <w:bookmarkStart w:id="0" w:name="_GoBack"/>
      <w:bookmarkEnd w:id="0"/>
      <w:r>
        <w:rPr>
          <w:rFonts w:eastAsia="方正小标宋_GBK" w:hint="eastAsia"/>
          <w:sz w:val="44"/>
          <w:szCs w:val="44"/>
        </w:rPr>
        <w:t>运维服务需求</w:t>
      </w:r>
    </w:p>
    <w:p>
      <w:pPr>
        <w:pStyle w:val="1"/>
        <w:spacing w:before="0" w:after="0" w:line="560" w:lineRule="exact"/>
        <w:ind w:firstLineChars="200" w:firstLine="640"/>
        <w:rPr>
          <w:rFonts w:ascii="Times New Roman" w:eastAsia="方正黑体_GBK" w:cs="方正黑体_GBK" w:hAnsi="Times New Roman"/>
          <w:b w:val="0"/>
          <w:kern w:val="2"/>
          <w:sz w:val="32"/>
          <w:szCs w:val="32"/>
        </w:rPr>
      </w:pPr>
      <w:r>
        <w:rPr>
          <w:rFonts w:ascii="Times New Roman" w:eastAsia="方正黑体_GBK" w:cs="方正黑体_GBK" w:hAnsi="Times New Roman" w:hint="eastAsia"/>
          <w:b w:val="0"/>
          <w:kern w:val="2"/>
          <w:sz w:val="32"/>
          <w:szCs w:val="32"/>
        </w:rPr>
        <w:t>一、项目概述</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为保障沈阳海关关区信息化应用项目平稳运行，更好适应关级项目国产化改造趋势，更快响应项目业务变更需求，沈阳海关拟针对支撑关区政务、业务运转的关级信息化应用项目实施技术保障，结合关区系统运维时效性要求、快速响应业务调整及变更实施需求，进一步加强系统运维保障能力，针对各类故障及问题能够做到及时处理，快速解决。</w:t>
      </w:r>
    </w:p>
    <w:p>
      <w:pPr>
        <w:pStyle w:val="1"/>
        <w:spacing w:before="0" w:after="0" w:line="560" w:lineRule="exact"/>
        <w:ind w:firstLineChars="200" w:firstLine="640"/>
        <w:rPr>
          <w:rFonts w:ascii="Times New Roman" w:eastAsia="方正黑体_GBK" w:cs="方正黑体_GBK" w:hAnsi="Times New Roman"/>
          <w:b w:val="0"/>
          <w:kern w:val="2"/>
          <w:sz w:val="32"/>
          <w:szCs w:val="32"/>
        </w:rPr>
      </w:pPr>
      <w:r>
        <w:rPr>
          <w:rFonts w:ascii="Times New Roman" w:eastAsia="方正黑体_GBK" w:cs="方正黑体_GBK" w:hAnsi="Times New Roman" w:hint="eastAsia"/>
          <w:b w:val="0"/>
          <w:kern w:val="2"/>
          <w:sz w:val="32"/>
          <w:szCs w:val="32"/>
        </w:rPr>
        <w:t>二、开发服务范围</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沈阳海关关区政务、业务运转的门户网站、HB办公系统及其扩展应用等关级信息化应用项目的开发及相关运维工作。提供优质的开发及运维服务，保证系统稳定运行，所提供的服务范围包括以下内容：</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（一）完成对以上信息化应用系统的技术运维保障。包含日常技术运维，数据库备份，日常巡检，技术咨询，技术支持等。</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（二）实施对以上信息化应用系统的定制开发及变更。派驻至少2名工程师实施驻场运维，由驻场工程师根据需求方提出的变更需求，进行快速现场开发响应，完成总计不少于</w:t>
      </w:r>
      <w:r>
        <w:rPr>
          <w:rFonts w:eastAsia="方正仿宋_GBK" w:cs="Arial"/>
          <w:kern w:val="2"/>
          <w:sz w:val="32"/>
          <w:szCs w:val="32"/>
        </w:rPr>
        <w:t>10</w:t>
      </w:r>
      <w:r>
        <w:rPr>
          <w:rFonts w:eastAsia="方正仿宋_GBK" w:cs="Arial" w:hint="eastAsia"/>
          <w:kern w:val="2"/>
          <w:sz w:val="32"/>
          <w:szCs w:val="32"/>
        </w:rPr>
        <w:t>人月工作量的技术开发任务。</w:t>
      </w:r>
    </w:p>
    <w:p>
      <w:pPr>
        <w:pStyle w:val="1"/>
        <w:spacing w:line="560" w:lineRule="exact"/>
        <w:ind w:firstLineChars="200" w:firstLine="640"/>
        <w:rPr>
          <w:rFonts w:eastAsia="方正仿宋_GBK" w:cs="Arial"/>
          <w:kern w:val="2"/>
          <w:sz w:val="32"/>
          <w:szCs w:val="32"/>
        </w:rPr>
      </w:pPr>
      <w:r>
        <w:rPr>
          <w:rFonts w:ascii="Times New Roman" w:eastAsia="方正黑体_GBK" w:cs="方正黑体_GBK" w:hAnsi="Times New Roman" w:hint="eastAsia"/>
          <w:b w:val="0"/>
          <w:kern w:val="2"/>
          <w:sz w:val="32"/>
          <w:szCs w:val="32"/>
        </w:rPr>
        <w:t>三、开发服务内容</w:t>
      </w:r>
    </w:p>
    <w:tbl>
      <w:tblPr>
        <w:jc w:val="center"/>
        <w:tblW w:w="9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40" w:type="dxa"/>
          <w:left w:w="64" w:type="dxa"/>
          <w:bottom w:w="40" w:type="dxa"/>
          <w:right w:w="64" w:type="dxa"/>
        </w:tblCellMar>
      </w:tblPr>
      <w:tblGrid>
        <w:gridCol w:w="668"/>
        <w:gridCol w:w="693"/>
        <w:gridCol w:w="1262"/>
        <w:gridCol w:w="4128"/>
        <w:gridCol w:w="875"/>
        <w:gridCol w:w="816"/>
        <w:gridCol w:w="760"/>
      </w:tblGrid>
      <w:tr>
        <w:trPr>
          <w:tblHeader/>
        </w:trP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序号</w:t>
            </w:r>
          </w:p>
        </w:tc>
        <w:tc>
          <w:tcPr>
            <w:tcW w:w="693"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服务项目</w:t>
            </w:r>
          </w:p>
        </w:tc>
        <w:tc>
          <w:tcPr>
            <w:tcW w:w="1262"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服务方式</w:t>
            </w:r>
          </w:p>
        </w:tc>
        <w:tc>
          <w:tcPr>
            <w:tcW w:w="412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交付方式</w:t>
            </w:r>
          </w:p>
        </w:tc>
        <w:tc>
          <w:tcPr>
            <w:tcW w:w="875"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标准服务时间</w:t>
            </w:r>
          </w:p>
        </w:tc>
        <w:tc>
          <w:tcPr>
            <w:tcW w:w="816"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服务周期</w:t>
            </w:r>
          </w:p>
        </w:tc>
        <w:tc>
          <w:tcPr>
            <w:tcW w:w="760" w:type="dxa"/>
            <w:shd w:val="clear" w:color="auto" w:fill="FFFFFF"/>
            <w:noWrap/>
            <w:vAlign w:val="center"/>
          </w:tcPr>
          <w:p>
            <w:pPr>
              <w:keepNext/>
              <w:widowControl w:val="0"/>
              <w:snapToGrid w:val="0"/>
              <w:spacing w:line="560" w:lineRule="exact"/>
              <w:jc w:val="center"/>
              <w:rPr>
                <w:rFonts w:ascii="Times New Roman" w:eastAsia="仿宋_GB2312" w:cs="仿宋_GB2312" w:hAnsi="Times New Roman" w:hint="eastAsia"/>
                <w:b/>
                <w:szCs w:val="21"/>
                <w:lang w:eastAsia="zh-CN"/>
              </w:rPr>
            </w:pPr>
            <w:r>
              <w:rPr>
                <w:rFonts w:ascii="Times New Roman" w:eastAsia="仿宋_GB2312" w:cs="仿宋_GB2312" w:hAnsi="Times New Roman" w:hint="eastAsia"/>
                <w:b/>
                <w:szCs w:val="21"/>
                <w:lang w:eastAsia="zh-CN"/>
              </w:rPr>
              <w:t>备注</w:t>
            </w: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1</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热线服务</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远程/现场方式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技术专员通过电话提供技术问题解答。</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7*8小时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val="restart"/>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提供2名驻现场（沈阳海关）运维工程师</w:t>
            </w: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2</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软件开发</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根据对</w:t>
            </w:r>
            <w:r>
              <w:rPr>
                <w:rFonts w:ascii="Times New Roman" w:eastAsia="仿宋_GB2312" w:cs="仿宋_GB2312" w:hAnsi="Times New Roman"/>
                <w:szCs w:val="21"/>
              </w:rPr>
              <w:t>支撑</w:t>
            </w:r>
            <w:r>
              <w:rPr>
                <w:rFonts w:ascii="Times New Roman" w:eastAsia="仿宋_GB2312" w:cs="仿宋_GB2312" w:hAnsi="Times New Roman" w:hint="eastAsia"/>
                <w:szCs w:val="21"/>
              </w:rPr>
              <w:t>沈阳海关关区政务、业务运转的门户网站、HB办公系统及其扩展应用等关级信息化应用项目提出的新需求，按要求完成定制开发。</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3</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软件升级服务</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根据沈阳海关提供的相关技术文档和要求进行系统现场升级。</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4</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软件BUG修复服务</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对软件产品免费提供软件BUG修补服务，所需代码开发人员费用、调试费用、测试费用、部署费用等相关费用包含在维保服务费用中。</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需求变更服务</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对沈阳海关提出的系统业务需求进行跟进，与用户及时沟通了解业务需求，进行可行性分析并确定需求变更方案，在原有功能基础上进行的需求变更提供免费的服务（需求调研、需求分析、方案设计、代码开发、功能测试、部署）。</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6</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系统运行环境迁移服务</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因现场网络环境及硬件环境变更，导致软件系统无法使用，可根据实际情况，在不变更软件现有功能及现有接口情况下，通过修改软件代码、软件系统迁移等方式保障软件系统正常运行，业务正常开展。</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7</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日常故障维护</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对软件系统进行日常维护，对用户在使用过程中出现的问题进行处理。提供故障热线电话、故障运维微信群等方式与运维人员描述故障情况。</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一年</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8</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定期巡检</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维保服务期限内，定期对软件系统运行环境进行检查，对软件使用情况进行回访。</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每季度一次</w:t>
            </w:r>
          </w:p>
        </w:tc>
        <w:tc>
          <w:tcPr>
            <w:tcW w:w="760" w:type="dxa"/>
            <w:vMerge/>
            <w:shd w:val="clear" w:color="auto" w:fill="FFFFFF"/>
            <w:noWrap/>
            <w:vAlign w:val="center"/>
          </w:tcPr>
          <w:p/>
        </w:tc>
      </w:tr>
      <w:tr>
        <w:tc>
          <w:tcPr>
            <w:tcW w:w="668" w:type="dxa"/>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9</w:t>
            </w:r>
          </w:p>
        </w:tc>
        <w:tc>
          <w:tcPr>
            <w:tcW w:w="693"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数据库备份</w:t>
            </w:r>
          </w:p>
        </w:tc>
        <w:tc>
          <w:tcPr>
            <w:tcW w:w="1262"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现场方式</w:t>
            </w:r>
          </w:p>
        </w:tc>
        <w:tc>
          <w:tcPr>
            <w:tcW w:w="4128"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维保服务期限内，为防止</w:t>
            </w:r>
            <w:r>
              <w:rPr>
                <w:rFonts w:ascii="Times New Roman" w:eastAsia="仿宋_GB2312" w:cs="仿宋_GB2312" w:hAnsi="Times New Roman"/>
                <w:szCs w:val="21"/>
              </w:rPr>
              <w:t>因</w:t>
            </w:r>
            <w:r>
              <w:rPr>
                <w:rFonts w:ascii="Times New Roman" w:eastAsia="仿宋_GB2312" w:cs="仿宋_GB2312" w:hAnsi="Times New Roman" w:hint="eastAsia"/>
                <w:szCs w:val="21"/>
              </w:rPr>
              <w:t>服务器被攻击及其他不确定性因素导致数据库数据无法还原，重要的数据丢失，制定数据库备份计划，每周对数据库进行一次本地和异地数据备份，保存至少三个月的历史数据。因人为因素及自然因素导致的数据库数据丢失，以最近日期的备份文件进行恢复。</w:t>
            </w:r>
          </w:p>
        </w:tc>
        <w:tc>
          <w:tcPr>
            <w:tcW w:w="875"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center"/>
              <w:rPr>
                <w:rFonts w:ascii="Times New Roman" w:eastAsia="仿宋_GB2312" w:cs="仿宋_GB2312" w:hAnsi="Times New Roman"/>
                <w:szCs w:val="21"/>
              </w:rPr>
            </w:pPr>
            <w:r>
              <w:rPr>
                <w:rFonts w:ascii="Times New Roman" w:eastAsia="仿宋_GB2312" w:cs="仿宋_GB2312" w:hAnsi="Times New Roman" w:hint="eastAsia"/>
                <w:szCs w:val="21"/>
              </w:rPr>
              <w:t>5*8小时</w:t>
            </w:r>
          </w:p>
        </w:tc>
        <w:tc>
          <w:tcPr>
            <w:tcW w:w="816" w:type="dxa"/>
            <w:tcBorders>
              <w:top w:val="single" w:sz="4" w:space="0" w:color="auto"/>
              <w:left w:val="single" w:sz="4" w:space="0" w:color="auto"/>
              <w:right w:val="single" w:sz="4" w:space="0" w:color="auto"/>
            </w:tcBorders>
            <w:shd w:val="clear" w:color="auto" w:fill="FFFFFF"/>
            <w:noWrap/>
            <w:vAlign w:val="center"/>
          </w:tcPr>
          <w:p>
            <w:pPr>
              <w:keepNext/>
              <w:widowControl w:val="0"/>
              <w:snapToGrid w:val="0"/>
              <w:spacing w:line="240" w:lineRule="auto"/>
              <w:jc w:val="left"/>
              <w:rPr>
                <w:rFonts w:ascii="Times New Roman" w:eastAsia="仿宋_GB2312" w:cs="仿宋_GB2312" w:hAnsi="Times New Roman"/>
                <w:szCs w:val="21"/>
              </w:rPr>
            </w:pPr>
            <w:r>
              <w:rPr>
                <w:rFonts w:ascii="Times New Roman" w:eastAsia="仿宋_GB2312" w:cs="仿宋_GB2312" w:hAnsi="Times New Roman" w:hint="eastAsia"/>
                <w:szCs w:val="21"/>
              </w:rPr>
              <w:t>每周对数据库进行一次本地和异地数据备份，数据保存至少三个月的历史数据。</w:t>
            </w:r>
          </w:p>
        </w:tc>
        <w:tc>
          <w:tcPr>
            <w:tcW w:w="760" w:type="dxa"/>
            <w:vMerge/>
            <w:shd w:val="clear" w:color="auto" w:fill="FFFFFF"/>
            <w:noWrap/>
            <w:vAlign w:val="center"/>
          </w:tcPr>
          <w:p/>
        </w:tc>
      </w:tr>
    </w:tbl>
    <w:p>
      <w:pPr>
        <w:pStyle w:val="20"/>
        <w:adjustRightInd w:val="0"/>
        <w:snapToGrid w:val="0"/>
        <w:spacing w:line="560" w:lineRule="exact"/>
        <w:ind w:firstLineChars="0" w:firstLine="0"/>
        <w:rPr>
          <w:rFonts w:eastAsia="仿宋_GB2312" w:cs="仿宋_GB2312"/>
          <w:b/>
          <w:bCs/>
          <w:sz w:val="21"/>
          <w:szCs w:val="21"/>
        </w:rPr>
      </w:pPr>
    </w:p>
    <w:p>
      <w:pPr>
        <w:pStyle w:val="1"/>
        <w:spacing w:before="0" w:after="0" w:line="560" w:lineRule="exact"/>
        <w:ind w:firstLineChars="200" w:firstLine="640"/>
        <w:rPr>
          <w:rFonts w:ascii="Times New Roman" w:eastAsia="方正黑体_GBK" w:cs="方正黑体_GBK" w:hAnsi="Times New Roman" w:hint="eastAsia"/>
          <w:b w:val="0"/>
          <w:bCs w:val="0"/>
          <w:kern w:val="2"/>
          <w:sz w:val="32"/>
          <w:szCs w:val="32"/>
        </w:rPr>
      </w:pPr>
      <w:r>
        <w:rPr>
          <w:rFonts w:ascii="Times New Roman" w:eastAsia="方正黑体_GBK" w:cs="方正黑体_GBK" w:hAnsi="Times New Roman" w:hint="eastAsia"/>
          <w:b w:val="0"/>
          <w:bCs w:val="0"/>
          <w:kern w:val="2"/>
          <w:sz w:val="32"/>
          <w:szCs w:val="32"/>
        </w:rPr>
        <w:t>四、开发及运维服务</w:t>
      </w:r>
      <w:r>
        <w:rPr>
          <w:rFonts w:ascii="Times New Roman" w:eastAsia="方正黑体_GBK" w:cs="方正黑体_GBK" w:hAnsi="Times New Roman"/>
          <w:b w:val="0"/>
          <w:bCs w:val="0"/>
          <w:kern w:val="2"/>
          <w:sz w:val="32"/>
          <w:szCs w:val="32"/>
        </w:rPr>
        <w:t>要求</w:t>
      </w:r>
    </w:p>
    <w:p>
      <w:pPr>
        <w:pStyle w:val="2"/>
        <w:tabs>
          <w:tab w:val="left" w:pos="1080"/>
        </w:tabs>
        <w:snapToGrid w:val="0"/>
        <w:spacing w:before="0" w:after="0" w:line="560" w:lineRule="exact"/>
        <w:ind w:firstLineChars="200" w:firstLine="640"/>
        <w:rPr>
          <w:rFonts w:ascii="Times New Roman" w:eastAsia="方正仿宋_GBK" w:cs="Arial" w:hAnsi="Times New Roman"/>
          <w:b w:val="0"/>
          <w:szCs w:val="32"/>
        </w:rPr>
      </w:pPr>
      <w:r>
        <w:rPr>
          <w:rFonts w:ascii="Times New Roman" w:eastAsia="方正仿宋_GBK" w:cs="Arial" w:hAnsi="Times New Roman" w:hint="eastAsia"/>
          <w:b w:val="0"/>
          <w:szCs w:val="32"/>
        </w:rPr>
        <w:t>通过以上运维服务项提供软件日常运维服务、软件系统故障排查服务、软件开发服务，保障软件系统稳定运行、数据安全完整、现场业务正常开展。</w:t>
      </w:r>
    </w:p>
    <w:p>
      <w:pPr>
        <w:pStyle w:val="24"/>
        <w:tabs>
          <w:tab w:val="left" w:pos="1080"/>
        </w:tabs>
        <w:snapToGrid w:val="0"/>
        <w:spacing w:before="0" w:after="0" w:line="560" w:lineRule="exact"/>
        <w:ind w:firstLineChars="200" w:firstLine="640"/>
        <w:rPr>
          <w:rFonts w:ascii="Times New Roman" w:eastAsia="方正仿宋_GBK" w:cs="Arial" w:hAnsi="Times New Roman"/>
          <w:b w:val="0"/>
          <w:szCs w:val="32"/>
        </w:rPr>
      </w:pPr>
      <w:r>
        <w:rPr>
          <w:rFonts w:ascii="Times New Roman" w:eastAsia="方正仿宋_GBK" w:cs="Arial" w:hAnsi="Times New Roman" w:hint="eastAsia"/>
          <w:b w:val="0"/>
          <w:szCs w:val="32"/>
        </w:rPr>
        <w:t>（一）要求不少于2人的一年期驻场开发运维，要求驻场开发人员具有一年以上软件开发经验，熟练.NET、JAVA等其他主流开发工具及技术架构，熟悉SQLServer、Oracle、人大金仓、达梦等主流数据库技术，熟悉H4A基础架构开发，能独立进行项目需求分析，系统设计，代码开发及测试，了解服务器运维相关知识。</w:t>
      </w:r>
    </w:p>
    <w:p>
      <w:pPr>
        <w:pStyle w:val="24"/>
        <w:tabs>
          <w:tab w:val="left" w:pos="1080"/>
        </w:tabs>
        <w:snapToGrid w:val="0"/>
        <w:spacing w:before="0" w:after="0" w:line="560" w:lineRule="exact"/>
        <w:ind w:firstLineChars="200" w:firstLine="640"/>
        <w:rPr>
          <w:rFonts w:ascii="Times New Roman" w:hAnsi="Times New Roman"/>
        </w:rPr>
      </w:pPr>
      <w:r>
        <w:rPr>
          <w:rFonts w:ascii="Times New Roman" w:eastAsia="方正仿宋_GBK" w:cs="Arial" w:hAnsi="Times New Roman"/>
          <w:b w:val="0"/>
          <w:szCs w:val="32"/>
        </w:rPr>
        <w:t>（二）驻场人员需为供应商单位正式员工，且驻场</w:t>
      </w:r>
      <w:r>
        <w:rPr>
          <w:rFonts w:ascii="Times New Roman" w:eastAsia="方正仿宋_GBK" w:cs="Arial" w:hAnsi="Times New Roman" w:hint="eastAsia"/>
          <w:b w:val="0"/>
          <w:szCs w:val="32"/>
        </w:rPr>
        <w:t>人员固定</w:t>
      </w:r>
      <w:r>
        <w:rPr>
          <w:rFonts w:ascii="Times New Roman" w:eastAsia="方正仿宋_GBK" w:cs="Arial" w:hAnsi="Times New Roman"/>
          <w:b w:val="0"/>
          <w:szCs w:val="32"/>
        </w:rPr>
        <w:t>。驻场人员提供</w:t>
      </w:r>
      <w:r>
        <w:rPr>
          <w:rFonts w:ascii="Times New Roman" w:eastAsia="方正仿宋_GBK" w:cs="Arial" w:hAnsi="Times New Roman" w:hint="eastAsia"/>
          <w:b w:val="0"/>
          <w:szCs w:val="32"/>
        </w:rPr>
        <w:t>5×8小时</w:t>
      </w:r>
      <w:r>
        <w:rPr>
          <w:rFonts w:ascii="Times New Roman" w:eastAsia="方正仿宋_GBK" w:cs="Arial" w:hAnsi="Times New Roman"/>
          <w:b w:val="0"/>
          <w:szCs w:val="32"/>
        </w:rPr>
        <w:t>工作日</w:t>
      </w:r>
      <w:r>
        <w:rPr>
          <w:rFonts w:ascii="Times New Roman" w:eastAsia="方正仿宋_GBK" w:cs="Arial" w:hAnsi="Times New Roman" w:hint="eastAsia"/>
          <w:b w:val="0"/>
          <w:szCs w:val="32"/>
        </w:rPr>
        <w:t>驻场</w:t>
      </w:r>
      <w:r>
        <w:rPr>
          <w:rFonts w:ascii="Times New Roman" w:eastAsia="方正仿宋_GBK" w:cs="Arial" w:hAnsi="Times New Roman"/>
          <w:b w:val="0"/>
          <w:szCs w:val="32"/>
        </w:rPr>
        <w:t>服务，每个工作日驻场工作时间为8：30-16：30</w:t>
      </w:r>
      <w:r>
        <w:rPr>
          <w:rFonts w:ascii="Times New Roman" w:eastAsia="方正仿宋_GBK" w:cs="Arial" w:hAnsi="Times New Roman" w:hint="eastAsia"/>
          <w:b w:val="0"/>
          <w:szCs w:val="32"/>
        </w:rPr>
        <w:t>，驻场期间相关设备及交通等均自行解决。</w:t>
      </w:r>
      <w:r>
        <w:rPr>
          <w:rFonts w:ascii="Times New Roman" w:eastAsia="方正仿宋_GBK" w:cs="Arial" w:hAnsi="Times New Roman"/>
          <w:b w:val="0"/>
          <w:szCs w:val="32"/>
        </w:rPr>
        <w:t>驻场期间必须严格遵守采购人单位各项规章制度，如驻场期间违反采购人单位相关规定，情节严重的采购人有权解除合同。</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w:t>
      </w:r>
      <w:r>
        <w:rPr>
          <w:rFonts w:eastAsia="方正仿宋_GBK" w:cs="Arial"/>
          <w:kern w:val="2"/>
          <w:sz w:val="32"/>
          <w:szCs w:val="32"/>
        </w:rPr>
        <w:t>三</w:t>
      </w:r>
      <w:r>
        <w:rPr>
          <w:rFonts w:eastAsia="方正仿宋_GBK" w:cs="Arial" w:hint="eastAsia"/>
          <w:kern w:val="2"/>
          <w:sz w:val="32"/>
          <w:szCs w:val="32"/>
        </w:rPr>
        <w:t>）提供5×8小时工作时间软件故障日常维护服务，7×24小时电话、微信群技术支持服务，以保证第一时间内软件系统恢复正常运行、业务正常开展。</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w:t>
      </w:r>
      <w:r>
        <w:rPr>
          <w:rFonts w:eastAsia="方正仿宋_GBK" w:cs="Arial"/>
          <w:kern w:val="2"/>
          <w:sz w:val="32"/>
          <w:szCs w:val="32"/>
        </w:rPr>
        <w:t>四</w:t>
      </w:r>
      <w:r>
        <w:rPr>
          <w:rFonts w:eastAsia="方正仿宋_GBK" w:cs="Arial" w:hint="eastAsia"/>
          <w:kern w:val="2"/>
          <w:sz w:val="32"/>
          <w:szCs w:val="32"/>
        </w:rPr>
        <w:t>）一般的技术问题，由驻场技术人员解决故障；遇到突发事件和重大技术问题，由供应商派出专业技术团队赶赴现场提供服务。</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w:t>
      </w:r>
      <w:r>
        <w:rPr>
          <w:rFonts w:eastAsia="方正仿宋_GBK" w:cs="Arial"/>
          <w:kern w:val="2"/>
          <w:sz w:val="32"/>
          <w:szCs w:val="32"/>
        </w:rPr>
        <w:t>五</w:t>
      </w:r>
      <w:r>
        <w:rPr>
          <w:rFonts w:eastAsia="方正仿宋_GBK" w:cs="Arial" w:hint="eastAsia"/>
          <w:kern w:val="2"/>
          <w:sz w:val="32"/>
          <w:szCs w:val="32"/>
        </w:rPr>
        <w:t>）定期对软件系统及运行环境进行检查，对于巡检过程中发现的运行环境硬件问题及时告知客户，并给出相应的解决方案，保证系统稳定性。</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w:t>
      </w:r>
      <w:r>
        <w:rPr>
          <w:rFonts w:eastAsia="方正仿宋_GBK" w:cs="Arial"/>
          <w:kern w:val="2"/>
          <w:sz w:val="32"/>
          <w:szCs w:val="32"/>
        </w:rPr>
        <w:t>六</w:t>
      </w:r>
      <w:r>
        <w:rPr>
          <w:rFonts w:eastAsia="方正仿宋_GBK" w:cs="Arial" w:hint="eastAsia"/>
          <w:kern w:val="2"/>
          <w:sz w:val="32"/>
          <w:szCs w:val="32"/>
        </w:rPr>
        <w:t>）按需求方提出的关于</w:t>
      </w:r>
      <w:r>
        <w:rPr>
          <w:rFonts w:eastAsia="方正仿宋_GBK" w:cs="Arial"/>
          <w:kern w:val="2"/>
          <w:sz w:val="32"/>
          <w:szCs w:val="32"/>
        </w:rPr>
        <w:t>支撑</w:t>
      </w:r>
      <w:r>
        <w:rPr>
          <w:rFonts w:eastAsia="方正仿宋_GBK" w:cs="Arial" w:hint="eastAsia"/>
          <w:kern w:val="2"/>
          <w:sz w:val="32"/>
          <w:szCs w:val="32"/>
        </w:rPr>
        <w:t>沈阳海关关区政务、业务运转的门户网站、HB办公系统及其扩展应用等关级信息化应用项目的定制功能需求及要求进行开发，准时提交产品。在系统试运行阶段，对所有用户提供系统操作培训，在系统上线运行时提供现场技术支持和问题应答。</w:t>
      </w:r>
    </w:p>
    <w:p>
      <w:pPr>
        <w:pStyle w:val="20"/>
        <w:adjustRightInd w:val="0"/>
        <w:snapToGrid w:val="0"/>
        <w:spacing w:line="560" w:lineRule="exact"/>
        <w:rPr>
          <w:rFonts w:eastAsia="方正仿宋_GBK" w:cs="Arial"/>
          <w:kern w:val="2"/>
          <w:sz w:val="32"/>
          <w:szCs w:val="32"/>
        </w:rPr>
      </w:pPr>
      <w:r>
        <w:rPr>
          <w:rFonts w:eastAsia="方正仿宋_GBK" w:cs="Arial" w:hint="eastAsia"/>
          <w:kern w:val="2"/>
          <w:sz w:val="32"/>
          <w:szCs w:val="32"/>
        </w:rPr>
        <w:t>（</w:t>
      </w:r>
      <w:r>
        <w:rPr>
          <w:rFonts w:eastAsia="方正仿宋_GBK" w:cs="Arial"/>
          <w:kern w:val="2"/>
          <w:sz w:val="32"/>
          <w:szCs w:val="32"/>
        </w:rPr>
        <w:t>七</w:t>
      </w:r>
      <w:r>
        <w:rPr>
          <w:rFonts w:eastAsia="方正仿宋_GBK" w:cs="Arial" w:hint="eastAsia"/>
          <w:kern w:val="2"/>
          <w:sz w:val="32"/>
          <w:szCs w:val="32"/>
        </w:rPr>
        <w:t>）必要的情况下，为我方提供完整项目周期的各类技术和业务说明文档，以方便系统日后的运维和升级所需。</w:t>
      </w:r>
    </w:p>
    <w:p>
      <w:pPr>
        <w:spacing w:line="560" w:lineRule="exact"/>
        <w:ind w:firstLineChars="200" w:firstLine="640"/>
        <w:rPr>
          <w:rFonts w:ascii="Times New Roman" w:eastAsia="方正仿宋_GBK" w:cs="Arial" w:hAnsi="Times New Roman"/>
          <w:sz w:val="32"/>
          <w:szCs w:val="32"/>
        </w:rPr>
      </w:pPr>
      <w:r>
        <w:rPr>
          <w:rFonts w:ascii="Times New Roman" w:eastAsia="方正仿宋_GBK" w:cs="Arial" w:hAnsi="Times New Roman" w:hint="eastAsia"/>
          <w:sz w:val="32"/>
          <w:szCs w:val="32"/>
        </w:rPr>
        <w:t>（</w:t>
      </w:r>
      <w:r>
        <w:rPr>
          <w:rFonts w:ascii="Times New Roman" w:eastAsia="方正仿宋_GBK" w:cs="Arial" w:hAnsi="Times New Roman"/>
          <w:sz w:val="32"/>
          <w:szCs w:val="32"/>
        </w:rPr>
        <w:t>八</w:t>
      </w:r>
      <w:r>
        <w:rPr>
          <w:rFonts w:ascii="Times New Roman" w:eastAsia="方正仿宋_GBK" w:cs="Arial" w:hAnsi="Times New Roman" w:hint="eastAsia"/>
          <w:sz w:val="32"/>
          <w:szCs w:val="32"/>
        </w:rPr>
        <w:t>）为保障系统稳定运行，在进行需求变更、软件升级、系统运行环境迁移等工作前，对原有软件相关内容进行备份。</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01"/>
    <w:family w:val="swiss"/>
    <w:pitch w:val="variable"/>
    <w:sig w:usb0="E0002EFF" w:usb1="C000785B" w:usb2="00000009" w:usb3="00000000" w:csb0="400001FF" w:csb1="FFFF0000"/>
  </w:font>
  <w:font w:name="仿宋_GB2312">
    <w:altName w:val="仿宋"/>
    <w:panose1 w:val="00000000000000000000"/>
    <w:charset w:val="86"/>
    <w:family w:val="modern"/>
    <w:pitch w:val="variable"/>
    <w:sig w:usb0="00000000" w:usb1="00000000" w:usb2="00000000" w:usb3="00000000" w:csb0="00040000" w:csb1="00000000"/>
  </w:font>
  <w:font w:name="宋体">
    <w:altName w:val="华文宋体"/>
    <w:panose1 w:val="02010600030101010101"/>
    <w:charset w:val="86"/>
    <w:family w:val="auto"/>
    <w:pitch w:val="variable"/>
    <w:sig w:usb0="00000203" w:usb1="288F0000" w:usb2="00000006" w:usb3="00000000" w:csb0="00040001" w:csb1="00000000"/>
  </w:font>
  <w:font w:name="Calibri">
    <w:altName w:val="Times New Roman"/>
    <w:panose1 w:val="020F0502020204030204"/>
    <w:charset w:val="00"/>
    <w:family w:val="swiss"/>
    <w:pitch w:val="variable"/>
    <w:sig w:usb0="E4002EFF" w:usb1="C000247B" w:usb2="00000009" w:usb3="00000000" w:csb0="200001FF" w:csb1="00000000"/>
  </w:font>
  <w:font w:name="黑体">
    <w:altName w:val="华文细黑"/>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00" w:after="300" w:line="480" w:lineRule="auto"/>
      <w:outlineLvl w:val="0"/>
    </w:pPr>
    <w:rPr>
      <w:rFonts w:eastAsia="黑体"/>
      <w:b/>
      <w:bCs/>
      <w:kern w:val="44"/>
      <w:sz w:val="36"/>
      <w:szCs w:val="44"/>
    </w:rPr>
  </w:style>
  <w:style w:type="paragraph" w:styleId="2">
    <w:name w:val="heading 2"/>
    <w:basedOn w:val="0"/>
    <w:next w:val="0"/>
    <w:pPr>
      <w:keepNext/>
      <w:keepLines/>
      <w:widowControl w:val="0"/>
      <w:spacing w:before="260" w:after="260" w:line="413"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Indent"/>
    <w:basedOn w:val="0"/>
    <w:next w:val="0"/>
    <w:pPr>
      <w:ind w:firstLine="795"/>
    </w:pPr>
    <w:rPr>
      <w:sz w:val="32"/>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Body Text First Indent 2"/>
    <w:basedOn w:val="15"/>
    <w:next w:val="0"/>
    <w:pPr>
      <w:adjustRightInd w:val="0"/>
      <w:spacing w:after="120" w:line="520" w:lineRule="exact"/>
      <w:ind w:firstLine="210"/>
      <w:textAlignment w:val="baseline"/>
    </w:pPr>
    <w:rPr>
      <w:rFonts w:ascii="黑体" w:eastAsia="黑体"/>
    </w:rPr>
  </w:style>
  <w:style w:type="paragraph" w:customStyle="1" w:styleId="20">
    <w:name w:val="0正文"/>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1">
    <w:name w:val="样式 14 10 磅"/>
    <w:pPr>
      <w:widowControl w:val="0"/>
      <w:jc w:val="both"/>
    </w:pPr>
    <w:rPr>
      <w:rFonts w:ascii="Times New Roman" w:eastAsia="宋体" w:cs="Arial" w:hAnsi="Times New Roman"/>
      <w:kern w:val="2"/>
      <w:sz w:val="21"/>
      <w:szCs w:val="22"/>
      <w:lang w:val="en-US" w:eastAsia="zh-CN" w:bidi="ar-SA"/>
    </w:rPr>
  </w:style>
  <w:style w:type="paragraph" w:customStyle="1" w:styleId="22">
    <w:name w:val="样式 154 10 磅"/>
    <w:pPr>
      <w:widowControl w:val="0"/>
      <w:jc w:val="both"/>
    </w:pPr>
    <w:rPr>
      <w:rFonts w:ascii="Calibri" w:eastAsia="宋体" w:cs="Arial" w:hAnsi="Calibri"/>
      <w:kern w:val="2"/>
      <w:sz w:val="21"/>
      <w:szCs w:val="24"/>
      <w:lang w:val="en-US" w:eastAsia="zh-CN" w:bidi="ar-SA"/>
    </w:rPr>
  </w:style>
  <w:style w:type="paragraph" w:customStyle="1" w:styleId="23">
    <w:name w:val="样式 160 10 磅"/>
    <w:pPr>
      <w:widowControl w:val="0"/>
      <w:jc w:val="both"/>
    </w:pPr>
    <w:rPr>
      <w:rFonts w:ascii="Times New Roman" w:eastAsia="宋体" w:cs="Arial" w:hAnsi="Times New Roman"/>
      <w:kern w:val="2"/>
      <w:sz w:val="21"/>
      <w:szCs w:val="20"/>
      <w:lang w:val="en-US" w:eastAsia="zh-CN" w:bidi="ar-SA"/>
    </w:rPr>
  </w:style>
  <w:style w:type="paragraph" w:customStyle="1" w:styleId="24">
    <w:name w:val="样式 三号"/>
    <w:basedOn w:val="0"/>
    <w:pPr>
      <w:keepNext/>
      <w:keepLines/>
      <w:widowControl w:val="0"/>
      <w:spacing w:before="260" w:after="260" w:line="413" w:lineRule="auto"/>
      <w:jc w:val="both"/>
      <w:outlineLvl w:val="1"/>
    </w:pPr>
    <w:rPr>
      <w:rFonts w:ascii="Arial" w:eastAsia="黑体" w:cs="Times New Roman" w:hAnsi="Arial"/>
      <w:b/>
      <w:kern w:val="2"/>
      <w:sz w:val="32"/>
      <w:szCs w:val="24"/>
      <w:lang w:val="en-US" w:eastAsia="zh-CN" w:bidi="ar-SA"/>
    </w:rPr>
  </w:style>
  <w:style w:type="paragraph" w:customStyle="1" w:styleId="25">
    <w:name w:val="样式 10 磅"/>
    <w:pPr>
      <w:widowControl w:val="0"/>
      <w:jc w:val="both"/>
    </w:pPr>
    <w:rPr>
      <w:rFonts w:ascii="Calibri" w:eastAsia="宋体" w:cs="Times New Roman" w:hAnsi="Calibri"/>
      <w:kern w:val="2"/>
      <w:sz w:val="21"/>
      <w:szCs w:val="24"/>
      <w:lang w:val="en-US" w:eastAsia="zh-CN" w:bidi="ar-SA"/>
    </w:rPr>
  </w:style>
  <w:style w:type="paragraph" w:customStyle="1" w:styleId="26">
    <w:name w:val="样式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184</TotalTime>
  <Application>Yozo_Office</Application>
  <Pages>4</Pages>
  <Words>1987</Words>
  <Characters>2046</Characters>
  <Lines>196</Lines>
  <Paragraphs>82</Paragraphs>
  <CharactersWithSpaces>2046</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yangjie</dc:creator>
  <cp:lastModifiedBy>祝威</cp:lastModifiedBy>
  <cp:revision>2</cp:revision>
  <cp:lastPrinted>2025-12-04T02:04:14Z</cp:lastPrinted>
  <dcterms:created xsi:type="dcterms:W3CDTF">2025-11-13T07:27:00Z</dcterms:created>
  <dcterms:modified xsi:type="dcterms:W3CDTF">2025-12-05T08:05:30Z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011E60BC8501484AA8D0B63FD03C0CFE_11</vt:lpwstr>
  </property>
  <property fmtid="{D5CDD505-2E9C-101B-9397-08002B2CF9AE}" pid="4" name="KSOTemplateDocerSaveRecord">
    <vt:lpwstr>eyJoZGlkIjoiM2E1MTRkNGRkYjVlYjc2NzQyMmQxOTFjMzEyZDY0MTgiLCJ1c2VySWQiOiI1NDcwODUyNzAifQ==</vt:lpwstr>
  </property>
</Properties>
</file>