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  <w:bookmarkStart w:id="0" w:name="bookmark4"/>
      <w:bookmarkEnd w:id="0"/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 w:hint="eastAsia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  <w:r>
        <w:rPr>
          <w:rFonts w:ascii="仿宋" w:cs="仿宋" w:hint="eastAsia"/>
          <w:sz w:val="28"/>
          <w:szCs w:val="28"/>
          <w:bdr w:val="none" w:sz="0" w:space="0" w:color="auto"/>
        </w:rPr>
        <w:t>沈阳海关</w:t>
      </w:r>
      <w:r>
        <w:rPr>
          <w:rFonts w:ascii="仿宋" w:cs="仿宋"/>
          <w:sz w:val="28"/>
          <w:szCs w:val="28"/>
          <w:bdr w:val="none" w:sz="0" w:space="0" w:color="auto"/>
        </w:rPr>
        <w:t>隶属单位资产盘点服务</w:t>
      </w:r>
      <w:r>
        <w:rPr>
          <w:rFonts w:ascii="仿宋" w:cs="仿宋" w:hint="eastAsia"/>
          <w:sz w:val="28"/>
          <w:szCs w:val="28"/>
          <w:bdr w:val="none" w:sz="0" w:space="0" w:color="auto"/>
        </w:rPr>
        <w:t>采购</w:t>
      </w:r>
      <w:r>
        <w:rPr>
          <w:rFonts w:ascii="仿宋" w:cs="仿宋" w:hint="eastAsia"/>
          <w:sz w:val="28"/>
          <w:szCs w:val="28"/>
        </w:rPr>
        <w:t>项目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  <w:r>
        <w:rPr>
          <w:rFonts w:ascii="Times New Roman" w:eastAsia="方正仿宋_GBK" w:cs="Times New Roman" w:hAnsi="Times New Roman"/>
          <w:sz w:val="32"/>
          <w:szCs w:val="32"/>
        </w:rPr>
        <w:t>2025-MH-017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1" w:name="_Toc16924_WPSOffice_Level2"/>
      <w:bookmarkStart w:id="2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1"/>
      <w:bookmarkEnd w:id="2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3" w:name="_Toc122_WPSOffice_Level2"/>
      <w:bookmarkStart w:id="4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3"/>
      <w:bookmarkEnd w:id="4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5" w:name="_Toc23728_WPSOffice_Level2"/>
      <w:bookmarkStart w:id="6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5"/>
      <w:bookmarkEnd w:id="6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7" w:name="_Toc28831_WPSOffice_Level2"/>
      <w:bookmarkStart w:id="8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7"/>
      <w:bookmarkEnd w:id="8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9" w:name="_Toc11967_WPSOffice_Level2"/>
      <w:bookmarkStart w:id="10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9"/>
      <w:bookmarkEnd w:id="10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/>
          <w:b/>
          <w:szCs w:val="21"/>
          <w:u w:val="single"/>
        </w:rPr>
        <w:t>中华人民共和国沈阳海关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2025-MH-017       </w:t>
      </w:r>
      <w:r>
        <w:rPr>
          <w:rFonts w:ascii="仿宋" w:cs="仿宋" w:hint="eastAsia"/>
          <w:b/>
          <w:bCs/>
          <w:szCs w:val="21"/>
        </w:rPr>
        <w:t xml:space="preserve">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2763"/>
        <w:gridCol w:w="2153"/>
      </w:tblGrid>
      <w:tr>
        <w:trPr>
          <w:trHeight w:val="827"/>
        </w:trPr>
        <w:tc>
          <w:tcPr>
            <w:tcW w:w="3000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3000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  <w:bdr w:val="none" w:sz="0" w:space="0" w:color="auto"/>
              </w:rPr>
              <w:t>沈阳海关隶属单位</w:t>
            </w:r>
            <w:r>
              <w:rPr>
                <w:rFonts w:ascii="仿宋" w:cs="仿宋"/>
                <w:szCs w:val="21"/>
                <w:bdr w:val="none" w:sz="0" w:space="0" w:color="auto"/>
              </w:rPr>
              <w:t>资产盘点服务</w:t>
            </w:r>
            <w:r>
              <w:rPr>
                <w:rFonts w:ascii="仿宋" w:cs="仿宋" w:hint="eastAsia"/>
                <w:szCs w:val="21"/>
                <w:bdr w:val="none" w:sz="0" w:space="0" w:color="auto"/>
              </w:rPr>
              <w:t>采购</w:t>
            </w:r>
            <w:r>
              <w:rPr>
                <w:rFonts w:ascii="仿宋" w:cs="仿宋" w:hint="eastAsia"/>
                <w:szCs w:val="21"/>
              </w:rPr>
              <w:t>项目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keepNext w:val="0"/>
        <w:widowControl w:val="0"/>
        <w:adjustRightInd w:val="0"/>
        <w:snapToGrid w:val="0"/>
        <w:spacing w:line="360" w:lineRule="auto"/>
        <w:ind w:left="0" w:rightChars="50" w:right="105"/>
        <w:jc w:val="left"/>
        <w:rPr>
          <w:rFonts w:ascii="仿宋" w:cs="仿宋"/>
          <w:szCs w:val="21"/>
        </w:rPr>
      </w:pPr>
      <w:r>
        <w:rPr>
          <w:rFonts w:ascii="仿宋" w:cs="仿宋"/>
          <w:szCs w:val="21"/>
        </w:rPr>
        <w:br w:type="page"/>
      </w: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pStyle w:val="150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1" w:name="_Toc31555_WPSOffice_Level2"/>
      <w:bookmarkStart w:id="12" w:name="_Toc9235_WPSOffice_Level2"/>
      <w:r>
        <w:rPr>
          <w:rFonts w:ascii="仿宋_GB2312" w:eastAsia="仿宋_GB2312" w:cs="仿宋_GB2312"/>
          <w:b/>
          <w:bCs/>
          <w:sz w:val="32"/>
          <w:szCs w:val="32"/>
        </w:rPr>
        <w:t>服务需求响应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表</w:t>
      </w:r>
      <w:bookmarkEnd w:id="11"/>
      <w:bookmarkEnd w:id="12"/>
    </w:p>
    <w:tbl>
      <w:tblPr>
        <w:jc w:val="left"/>
        <w:tblInd w:w="0" w:type="dxa"/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1140"/>
        </w:trPr>
        <w:tc>
          <w:tcPr>
            <w:tcW w:w="8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名称：沈阳海关</w:t>
            </w:r>
            <w:r>
              <w:rPr>
                <w:rFonts w:ascii="仿宋" w:eastAsia="仿宋" w:cs="仿宋"/>
                <w:kern w:val="2"/>
                <w:sz w:val="21"/>
                <w:szCs w:val="21"/>
                <w:bdr w:val="none" w:sz="0" w:space="0" w:color="auto"/>
              </w:rPr>
              <w:t>隶属单位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>资产盘点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服务采购项目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151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项目编号：2025-MH-017</w:t>
            </w:r>
          </w:p>
        </w:tc>
      </w:tr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431"/>
        </w:trPr>
        <w:tc>
          <w:tcPr>
            <w:tcW w:w="8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项目目标</w:t>
            </w:r>
          </w:p>
        </w:tc>
      </w:tr>
      <w:tr>
        <w:trPr>
          <w:trHeight w:val="2239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07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1.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对沈阳海关隶属单位，包括：铁西海关、抚顺海关、抚顺海关综合技术服务中心、锦州海关、锦州海关综合技术服务中心、阜新海关、辽阳海关、辽阳海关综合技术服务中心、铁岭海关、辽宁朝阳海关、辽宁朝阳海关综合技术服务中心、葫芦岛海关、后勤管理中心、沈阳海关技术中心、沈阳国际旅行卫生保健中心、沈阳数据分中心，共1.0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万余件资产实地核查盘点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30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0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2.对现有信息卡进行数据梳理，信息卡缺失字段、错误名称、分类错误等，整理出待完善卡片明细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2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5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3.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对资产系统信息卡信息完善；卡片拆分、合并、分类变动等原因的确认；处理卡片分类错误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58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4.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针对系统内账实一致的卡片进行条码打印；针对盘点后的情况进行相关数据比对；对确定后的标签进行粘贴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42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szCs w:val="21"/>
              </w:rPr>
              <w:t>5.</w:t>
            </w:r>
            <w:r>
              <w:rPr>
                <w:rFonts w:ascii="仿宋_GB2312" w:eastAsia="仿宋_GB2312" w:cs="仿宋_GB2312" w:hint="eastAsia"/>
                <w:szCs w:val="21"/>
              </w:rPr>
              <w:t>完成盘点材料的整理：包括待报废、盘亏、盘盈资产明细情况以及处理意见建议等</w:t>
            </w:r>
            <w:r>
              <w:rPr>
                <w:rFonts w:ascii="仿宋_GB2312" w:eastAsia="仿宋_GB2312" w:cs="仿宋_GB2312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42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bCs/>
                <w:snapToGrid w:val="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szCs w:val="21"/>
              </w:rPr>
              <w:t>6.</w:t>
            </w:r>
            <w:r>
              <w:rPr>
                <w:rFonts w:ascii="仿宋_GB2312" w:eastAsia="仿宋_GB2312" w:cs="仿宋_GB2312" w:hint="eastAsia"/>
                <w:szCs w:val="21"/>
              </w:rPr>
              <w:t>清查盘点工作中，参与采购人组织的相关会议，提供必要的资料和数据支持，解答对报告内容的疑问</w:t>
            </w:r>
            <w:r>
              <w:rPr>
                <w:rFonts w:ascii="仿宋_GB2312" w:eastAsia="仿宋_GB2312" w:cs="仿宋_GB2312"/>
                <w:szCs w:val="21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94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34"/>
              <w:spacing w:before="65"/>
              <w:ind w:left="28" w:right="11"/>
              <w:jc w:val="both"/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  <w:t>7.后续处置推进过程中，为采购人提供相关咨询服务</w:t>
            </w:r>
            <w:r>
              <w:rPr>
                <w:rFonts w:ascii="Times New Roman" w:eastAsia="方正仿宋_GBK" w:cs="Times New Roman" w:hAnsi="Times New Roman"/>
                <w:bCs/>
                <w:color w:val="auto"/>
                <w:spacing w:val="-4"/>
              </w:rPr>
              <w:t>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94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36"/>
              <w:spacing w:before="65"/>
              <w:ind w:left="28" w:right="11"/>
              <w:jc w:val="both"/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  <w:t>8.根据项目实际情况，对报告内容进行动态调整和补充，为项目顺利实施提供持续支持。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94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37"/>
              <w:spacing w:before="65"/>
              <w:ind w:left="28"/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  <w:t>9.编写相关资产清查报告（含问题清单及改进方案），确保报告内容详实、数据准确、逻辑严谨。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94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37"/>
              <w:spacing w:before="65"/>
              <w:ind w:left="28"/>
              <w:rPr>
                <w:rFonts w:ascii="Times New Roman" w:eastAsia="方正仿宋_GBK" w:cs="Times New Roman" w:hAnsi="Times New Roman"/>
                <w:bCs/>
                <w:color w:val="auto"/>
                <w:spacing w:val="-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color w:val="auto"/>
                <w:spacing w:val="-4"/>
              </w:rPr>
              <w:t>10.资产标签：采用符合标准的二维码或RFID 标签；标签信息包含资产名称、编号、购置日期、使用部门等核心字段；张贴位置统一（如设备右上角、车辆前挡风玻璃内侧），避免遮挡、损坏。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9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  <w:u w:val="single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76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b w:val="0"/>
          <w:szCs w:val="28"/>
        </w:rPr>
        <w:br w:type="page"/>
      </w: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szCs w:val="28"/>
        </w:rPr>
        <w:t>格式</w:t>
      </w:r>
      <w:r>
        <w:rPr>
          <w:rFonts w:ascii="仿宋_GB2312" w:eastAsia="仿宋_GB2312" w:cs="仿宋_GB2312"/>
          <w:szCs w:val="28"/>
        </w:rPr>
        <w:t>9</w:t>
      </w:r>
    </w:p>
    <w:p>
      <w:pPr>
        <w:pStyle w:val="150"/>
        <w:adjustRightInd w:val="0"/>
        <w:snapToGrid w:val="0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3" w:name="_Toc4431_WPSOffice_Level2"/>
      <w:bookmarkStart w:id="14" w:name="_Toc8488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商务条款偏离表</w:t>
      </w:r>
      <w:bookmarkEnd w:id="13"/>
      <w:bookmarkEnd w:id="14"/>
    </w:p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bCs/>
          <w:szCs w:val="21"/>
        </w:rPr>
      </w:pPr>
      <w:r>
        <w:rPr>
          <w:rFonts w:ascii="仿宋_GB2312" w:eastAsia="仿宋_GB2312" w:cs="仿宋_GB2312" w:hint="eastAsia"/>
          <w:b/>
          <w:bCs/>
          <w:szCs w:val="21"/>
        </w:rPr>
        <w:t xml:space="preserve"> </w:t>
      </w:r>
    </w:p>
    <w:tbl>
      <w:tblPr>
        <w:jc w:val="center"/>
        <w:tblW w:w="8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3737"/>
        <w:gridCol w:w="2370"/>
        <w:gridCol w:w="926"/>
        <w:gridCol w:w="936"/>
      </w:tblGrid>
      <w:tr>
        <w:trPr>
          <w:trHeight w:val="944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23" w:right="-48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序号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35" w:right="-73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所有条款均为实质性要求不得负偏离，如果负偏离，则投标文件无效。★标注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51" w:right="-107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投标文件响应内容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合同期限</w:t>
            </w:r>
            <w:r>
              <w:rPr>
                <w:rFonts w:ascii="仿宋_GB2312" w:eastAsia="仿宋_GB2312" w:cs="仿宋_GB2312" w:hint="eastAsia"/>
                <w:szCs w:val="21"/>
              </w:rPr>
              <w:t>：</w:t>
            </w:r>
            <w:r>
              <w:rPr>
                <w:rFonts w:ascii="仿宋_GB2312" w:eastAsia="仿宋_GB2312" w:cs="仿宋_GB2312"/>
                <w:szCs w:val="21"/>
              </w:rPr>
              <w:t>以双方最终签订的合同期限为准。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服务</w:t>
            </w:r>
            <w:r>
              <w:rPr>
                <w:rFonts w:ascii="仿宋_GB2312" w:eastAsia="仿宋_GB2312" w:cs="仿宋_GB2312" w:hint="eastAsia"/>
                <w:szCs w:val="21"/>
              </w:rPr>
              <w:t>地点：</w:t>
            </w:r>
            <w:r>
              <w:rPr>
                <w:rFonts w:ascii="仿宋_GB2312" w:eastAsia="仿宋_GB2312" w:cs="仿宋_GB2312"/>
                <w:szCs w:val="21"/>
              </w:rPr>
              <w:t>各隶属海关单位实际地点。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3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付款方式及条件：</w:t>
            </w:r>
            <w:r>
              <w:rPr>
                <w:rFonts w:ascii="仿宋_GB2312" w:eastAsia="仿宋_GB2312" w:cs="仿宋_GB2312"/>
                <w:szCs w:val="21"/>
              </w:rPr>
              <w:t>以合同约定为准。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62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4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239"/>
              <w:spacing w:before="65"/>
              <w:ind w:left="28" w:right="68"/>
              <w:jc w:val="both"/>
              <w:rPr>
                <w:rFonts w:ascii="仿宋_GB2312" w:eastAsia="仿宋_GB2312" w:cs="仿宋_GB2312"/>
                <w:color w:val="auto"/>
                <w:kern w:val="2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验收标准：</w:t>
            </w:r>
          </w:p>
          <w:p>
            <w:pPr>
              <w:pStyle w:val="239"/>
              <w:spacing w:before="65"/>
              <w:ind w:left="28" w:right="68"/>
              <w:jc w:val="both"/>
              <w:rPr>
                <w:rFonts w:ascii="仿宋_GB2312" w:eastAsia="仿宋_GB2312" w:cs="仿宋_GB2312" w:hint="eastAsia"/>
                <w:color w:val="auto"/>
                <w:kern w:val="2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1.清查报告内容完整、真实的反映本单位的固定资产清查盘点工作情况和结果，包括盘点基准日、范围、内容、结果、基准日固定资产状况，对盘点中发现问题的整改措施和实施计划，清查盘点报表数据真实准确。</w:t>
            </w:r>
          </w:p>
          <w:p>
            <w:pPr>
              <w:pStyle w:val="240"/>
              <w:spacing w:before="2"/>
              <w:ind w:left="29" w:right="67"/>
              <w:rPr>
                <w:rFonts w:ascii="仿宋_GB2312" w:eastAsia="仿宋_GB2312" w:cs="仿宋_GB2312"/>
                <w:color w:val="auto"/>
                <w:kern w:val="2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2.清查的资产账目与实物按相关要求在系统内完善资产数量、年份、规格型号、参数、照片和其他必要信息，采购人按不低于20%的数量进行抽查，抽查核对准确率达到规定要求；</w:t>
            </w:r>
          </w:p>
          <w:p>
            <w:pPr>
              <w:pStyle w:val="239"/>
              <w:spacing w:before="65"/>
              <w:ind w:left="28" w:right="68"/>
              <w:jc w:val="both"/>
              <w:rPr>
                <w:rFonts w:ascii="仿宋_GB2312" w:eastAsia="仿宋_GB2312" w:cs="仿宋_GB2312" w:hint="eastAsia"/>
                <w:color w:val="auto"/>
                <w:kern w:val="2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3.标签覆盖率：漏贴、误贴</w:t>
            </w:r>
            <w:r>
              <w:rPr>
                <w:rFonts w:ascii="仿宋_GB2312" w:eastAsia="仿宋_GB2312" w:cs="仿宋_GB2312" w:hint="eastAsia"/>
                <w:color w:val="auto"/>
                <w:kern w:val="2"/>
              </w:rPr>
              <w:t>率小于1%</w:t>
            </w:r>
            <w:r>
              <w:rPr>
                <w:rFonts w:ascii="仿宋_GB2312" w:eastAsia="仿宋_GB2312" w:cs="仿宋_GB2312" w:hint="eastAsia"/>
                <w:color w:val="auto"/>
                <w:kern w:val="2"/>
              </w:rPr>
              <w:t>（提供标签电子台账,含编码规则及对应资产信息，支持扫码查验)。</w:t>
            </w:r>
          </w:p>
          <w:p>
            <w:pPr>
              <w:pStyle w:val="242"/>
              <w:spacing w:before="2"/>
              <w:ind w:left="28" w:right="68"/>
              <w:rPr>
                <w:rFonts w:ascii="仿宋_GB2312" w:eastAsia="仿宋_GB2312" w:cs="仿宋_GB2312" w:hint="eastAsia"/>
                <w:color w:val="auto"/>
                <w:kern w:val="2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4.数据安全：供应商参加资产清查人员应遵守国家相关财经纪律，对清查过程中知悉的采购方的保密信息，提供保密承诺。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62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5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240"/>
              <w:spacing w:before="2"/>
              <w:ind w:left="29" w:right="67"/>
              <w:rPr>
                <w:rFonts w:ascii="Times New Roman" w:eastAsia="方正仿宋_GBK" w:cs="Times New Roman" w:hAnsi="Times New Roman"/>
                <w:spacing w:val="9"/>
                <w:sz w:val="32"/>
                <w:szCs w:val="32"/>
                <w:highlight w:val="green"/>
              </w:rPr>
            </w:pPr>
            <w:r>
              <w:rPr>
                <w:rFonts w:ascii="仿宋_GB2312" w:eastAsia="仿宋_GB2312" w:cs="仿宋_GB2312" w:hint="eastAsia"/>
                <w:color w:val="auto"/>
                <w:kern w:val="2"/>
              </w:rPr>
              <w:t>其他要求：本项目配备人员不少于6人，实地进场盘点时间不少于60天。</w:t>
            </w:r>
            <w:bookmarkStart w:id="15" w:name="_GoBack"/>
            <w:bookmarkEnd w:id="15"/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83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5" w:left="-52" w:rightChars="-8" w:right="-17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1．“投标文件响应内容”一栏由投标人按照招标文件要求填写，进行响应。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 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0" w:usb1="080E0000" w:usb2="00000000" w:usb3="00000000" w:csb0="00040000" w:csb1="00000000"/>
  </w:font>
  <w:font w:name="宋体">
    <w:altName w:val="华文宋体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altName w:val="DejaVu Sans"/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方正仿宋_GBK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mbria Math">
    <w:altName w:val="DejaVu Sans"/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方正黑体_GBK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300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1430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9.000015pt;height:11.654974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86E4D9A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BEA39643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next w:val="1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szCs w:val="20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3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6">
    <w:name w:val="样式 3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7">
    <w:name w:val="样式 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8">
    <w:name w:val="样式 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9">
    <w:name w:val="样式 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0">
    <w:name w:val="样式 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1">
    <w:name w:val="样式 3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2">
    <w:name w:val="样式 3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3">
    <w:name w:val="样式 3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4">
    <w:name w:val="样式 3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5">
    <w:name w:val="样式 4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8">
    <w:name w:val="样式 43 10 磅"/>
    <w:next w:val="67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9">
    <w:name w:val="样式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50">
    <w:name w:val="样式 4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52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3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4">
    <w:name w:val="样式 47 10 磅"/>
    <w:next w:val="71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5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6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7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8">
    <w:name w:val="样式 51 10 磅"/>
    <w:next w:val="7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9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0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1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2">
    <w:name w:val="样式 55 10 磅"/>
    <w:next w:val="79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3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4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5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6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7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8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9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0">
    <w:name w:val="样式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171">
    <w:name w:val="样式 1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72">
    <w:name w:val="样式 63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3">
    <w:name w:val="样式 6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5">
    <w:name w:val="样式 66 10 磅"/>
    <w:next w:val="90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6">
    <w:name w:val="样式 6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7">
    <w:name w:val="样式 6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78">
    <w:name w:val="样式 6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0">
    <w:name w:val="样式 2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81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2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3">
    <w:name w:val="样式 7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4">
    <w:name w:val="样式 7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85">
    <w:name w:val="样式 7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86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7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8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9">
    <w:name w:val="样式 7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0">
    <w:name w:val="样式 8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1">
    <w:name w:val="样式 7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92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3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4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5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6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7">
    <w:name w:val="样式 9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8">
    <w:name w:val="样式 8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9">
    <w:name w:val="样式 85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86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8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2">
    <w:name w:val="样式 8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3">
    <w:name w:val="样式 8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5">
    <w:name w:val="样式 91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6">
    <w:name w:val="样式 9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7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8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9">
    <w:name w:val="样式 95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0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1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2">
    <w:name w:val="样式 98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3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4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5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6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7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8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9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0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1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2">
    <w:name w:val="样式 10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3">
    <w:name w:val="样式 10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4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5">
    <w:name w:val="样式 11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26">
    <w:name w:val="样式 11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27">
    <w:name w:val="样式 11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28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9">
    <w:name w:val="样式 11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0">
    <w:name w:val="样式 11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1">
    <w:name w:val="样式 11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2">
    <w:name w:val="样式 11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3">
    <w:name w:val="样式 11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4">
    <w:name w:val="样式 12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5">
    <w:name w:val="样式 121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6">
    <w:name w:val="样式 12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7">
    <w:name w:val="样式 12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8">
    <w:name w:val="样式 12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9">
    <w:name w:val="样式 12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0">
    <w:name w:val="样式 12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1">
    <w:name w:val="样式 12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2">
    <w:name w:val="样式 12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3">
    <w:name w:val="样式 12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4">
    <w:name w:val="样式 130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5">
    <w:name w:val="样式 13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6">
    <w:name w:val="样式 1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47">
    <w:name w:val="样式 1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48">
    <w:name w:val="样式 1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49">
    <w:name w:val="样式 1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334">
    <w:name w:val="样式 13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335">
    <w:name w:val="样式 13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336">
    <w:name w:val="样式 13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2355</TotalTime>
  <Application>Yozo_Office</Application>
  <Pages>11</Pages>
  <Words>2615</Words>
  <Characters>2707</Characters>
  <Lines>342</Lines>
  <Paragraphs>131</Paragraphs>
  <CharactersWithSpaces>2904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张侃</cp:lastModifiedBy>
  <cp:revision>2</cp:revision>
  <cp:lastPrinted>2024-09-29T03:59:00Z</cp:lastPrinted>
  <dcterms:created xsi:type="dcterms:W3CDTF">2024-08-06T05:59:00Z</dcterms:created>
  <dcterms:modified xsi:type="dcterms:W3CDTF">2025-12-04T11:22:19Z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